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0C1" w:rsidRDefault="00B260C1" w:rsidP="00B260C1">
      <w:pPr>
        <w:rPr>
          <w:b/>
          <w:bCs/>
        </w:rPr>
      </w:pPr>
      <w:r>
        <w:rPr>
          <w:b/>
          <w:bCs/>
        </w:rPr>
        <w:t>APK Kurulu Başkanlığı</w:t>
      </w:r>
    </w:p>
    <w:p w:rsidR="00B260C1" w:rsidRDefault="00B260C1" w:rsidP="00B260C1">
      <w:pPr>
        <w:pStyle w:val="Balk1"/>
      </w:pPr>
      <w:r>
        <w:t>Koordinasyon Dairesi</w:t>
      </w:r>
    </w:p>
    <w:p w:rsidR="00B260C1" w:rsidRDefault="00B260C1" w:rsidP="00B260C1"/>
    <w:p w:rsidR="00B260C1" w:rsidRDefault="00B260C1" w:rsidP="00B260C1">
      <w:pPr>
        <w:pStyle w:val="Balk2"/>
      </w:pPr>
      <w:r>
        <w:t>Genelge</w:t>
      </w:r>
    </w:p>
    <w:p w:rsidR="00B260C1" w:rsidRDefault="00B260C1" w:rsidP="00B260C1">
      <w:pPr>
        <w:jc w:val="center"/>
        <w:rPr>
          <w:b/>
          <w:bCs/>
        </w:rPr>
      </w:pPr>
      <w:r>
        <w:rPr>
          <w:b/>
          <w:bCs/>
        </w:rPr>
        <w:t>2004-22</w:t>
      </w:r>
    </w:p>
    <w:p w:rsidR="00B260C1" w:rsidRDefault="00B260C1" w:rsidP="00B260C1">
      <w:pPr>
        <w:pStyle w:val="Balk1"/>
      </w:pPr>
      <w:r>
        <w:t>GİZLİ</w:t>
      </w:r>
    </w:p>
    <w:p w:rsidR="00B260C1" w:rsidRDefault="00B260C1" w:rsidP="00B260C1">
      <w:pPr>
        <w:ind w:firstLine="708"/>
      </w:pPr>
    </w:p>
    <w:p w:rsidR="00B260C1" w:rsidRDefault="00B260C1" w:rsidP="00B260C1">
      <w:pPr>
        <w:ind w:firstLine="708"/>
      </w:pPr>
      <w:r>
        <w:t xml:space="preserve">İçişleri Bakanlığı Araştırma, Planlama ve Koordinasyon Kurulu </w:t>
      </w:r>
      <w:proofErr w:type="gramStart"/>
      <w:r>
        <w:t>Başkanlığının  21</w:t>
      </w:r>
      <w:proofErr w:type="gramEnd"/>
      <w:r>
        <w:t xml:space="preserve">.01.2004 tarih ve 152 sayılı yazısı ile yayımlanan Genelgesi </w:t>
      </w:r>
      <w:r>
        <w:rPr>
          <w:b/>
          <w:bCs/>
        </w:rPr>
        <w:t>GİZL</w:t>
      </w:r>
      <w:r>
        <w:t>İ olduğu gerekçesi ile Havuzda yer almamıştır.</w:t>
      </w:r>
    </w:p>
    <w:p w:rsidR="00B260C1" w:rsidRDefault="00B260C1" w:rsidP="00B260C1">
      <w:pPr>
        <w:ind w:firstLine="708"/>
      </w:pPr>
    </w:p>
    <w:p w:rsidR="00B260C1" w:rsidRDefault="00B260C1" w:rsidP="00B260C1">
      <w:pPr>
        <w:ind w:firstLine="708"/>
      </w:pPr>
      <w:r>
        <w:t>Ancak 27.02.2004 tarih ve 504 sayılı yazımız gereğince genelge numarası verilmiştir.</w:t>
      </w:r>
    </w:p>
    <w:p w:rsidR="00B260C1" w:rsidRDefault="00B260C1"/>
    <w:p w:rsidR="00B260C1" w:rsidRPr="00B260C1" w:rsidRDefault="00B260C1" w:rsidP="00B260C1"/>
    <w:p w:rsidR="00B260C1" w:rsidRPr="00B260C1" w:rsidRDefault="00B260C1" w:rsidP="00B260C1"/>
    <w:p w:rsidR="00B260C1" w:rsidRPr="00B260C1" w:rsidRDefault="00B260C1" w:rsidP="00B260C1"/>
    <w:p w:rsidR="00B260C1" w:rsidRPr="00B260C1" w:rsidRDefault="00B260C1" w:rsidP="00B260C1"/>
    <w:p w:rsidR="00B260C1" w:rsidRPr="00B260C1" w:rsidRDefault="00B260C1" w:rsidP="00B260C1"/>
    <w:p w:rsidR="00B260C1" w:rsidRPr="00B260C1" w:rsidRDefault="00B260C1" w:rsidP="00B260C1"/>
    <w:p w:rsidR="00B260C1" w:rsidRPr="00B260C1" w:rsidRDefault="00B260C1" w:rsidP="00B260C1"/>
    <w:p w:rsidR="00B260C1" w:rsidRPr="00B260C1" w:rsidRDefault="00B260C1" w:rsidP="00B260C1"/>
    <w:p w:rsidR="00B260C1" w:rsidRPr="00B260C1" w:rsidRDefault="00B260C1" w:rsidP="00B260C1"/>
    <w:p w:rsidR="00B260C1" w:rsidRPr="00B260C1" w:rsidRDefault="00B260C1" w:rsidP="00B260C1"/>
    <w:p w:rsidR="00B260C1" w:rsidRPr="00B260C1" w:rsidRDefault="00B260C1" w:rsidP="00B260C1"/>
    <w:p w:rsidR="00B260C1" w:rsidRPr="00B260C1" w:rsidRDefault="00B260C1" w:rsidP="00B260C1"/>
    <w:p w:rsidR="00B260C1" w:rsidRPr="00B260C1" w:rsidRDefault="00B260C1" w:rsidP="00B260C1"/>
    <w:p w:rsidR="00B260C1" w:rsidRPr="00B260C1" w:rsidRDefault="00B260C1" w:rsidP="00B260C1"/>
    <w:p w:rsidR="00B260C1" w:rsidRPr="00B260C1" w:rsidRDefault="00B260C1" w:rsidP="00B260C1"/>
    <w:p w:rsidR="00B260C1" w:rsidRPr="00B260C1" w:rsidRDefault="00B260C1" w:rsidP="00B260C1"/>
    <w:p w:rsidR="00B260C1" w:rsidRPr="00B260C1" w:rsidRDefault="00B260C1" w:rsidP="00B260C1"/>
    <w:p w:rsidR="00B260C1" w:rsidRPr="00B260C1" w:rsidRDefault="00B260C1" w:rsidP="00B260C1"/>
    <w:p w:rsidR="00B260C1" w:rsidRPr="00B260C1" w:rsidRDefault="00B260C1" w:rsidP="00B260C1"/>
    <w:p w:rsidR="00B260C1" w:rsidRPr="00B260C1" w:rsidRDefault="00B260C1" w:rsidP="00B260C1"/>
    <w:p w:rsidR="00B260C1" w:rsidRDefault="00B260C1" w:rsidP="00B260C1"/>
    <w:p w:rsidR="00B260C1" w:rsidRPr="00B260C1" w:rsidRDefault="00B260C1" w:rsidP="00B260C1"/>
    <w:p w:rsidR="00B260C1" w:rsidRDefault="00B260C1" w:rsidP="00B260C1"/>
    <w:p w:rsidR="0002276E" w:rsidRDefault="00B260C1" w:rsidP="00B260C1">
      <w:pPr>
        <w:tabs>
          <w:tab w:val="left" w:pos="5490"/>
        </w:tabs>
      </w:pPr>
      <w:r>
        <w:tab/>
      </w: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jc w:val="center"/>
        <w:rPr>
          <w:b/>
          <w:bCs/>
        </w:rPr>
      </w:pPr>
      <w:r>
        <w:rPr>
          <w:b/>
          <w:bCs/>
        </w:rPr>
        <w:lastRenderedPageBreak/>
        <w:t>T.C.</w:t>
      </w:r>
    </w:p>
    <w:p w:rsidR="00B260C1" w:rsidRDefault="00B260C1" w:rsidP="00B260C1">
      <w:pPr>
        <w:jc w:val="center"/>
        <w:rPr>
          <w:b/>
          <w:bCs/>
        </w:rPr>
      </w:pPr>
      <w:r>
        <w:rPr>
          <w:b/>
          <w:bCs/>
        </w:rPr>
        <w:t>İÇİŞLERİ BAKANLIĞI</w:t>
      </w:r>
    </w:p>
    <w:p w:rsidR="00B260C1" w:rsidRDefault="00B260C1" w:rsidP="00B260C1">
      <w:pPr>
        <w:jc w:val="center"/>
        <w:rPr>
          <w:b/>
          <w:bCs/>
        </w:rPr>
      </w:pPr>
      <w:r>
        <w:rPr>
          <w:b/>
          <w:bCs/>
        </w:rPr>
        <w:t xml:space="preserve">Araştırma, Planlama ve Koordinasyon </w:t>
      </w:r>
    </w:p>
    <w:p w:rsidR="00B260C1" w:rsidRDefault="00B260C1" w:rsidP="00B260C1">
      <w:pPr>
        <w:jc w:val="center"/>
        <w:rPr>
          <w:b/>
          <w:bCs/>
        </w:rPr>
      </w:pPr>
      <w:r>
        <w:rPr>
          <w:b/>
          <w:bCs/>
        </w:rPr>
        <w:t>Kurulu Başkanlığı</w:t>
      </w:r>
    </w:p>
    <w:p w:rsidR="00B260C1" w:rsidRDefault="00B260C1" w:rsidP="00B260C1"/>
    <w:p w:rsidR="00B260C1" w:rsidRDefault="00B260C1" w:rsidP="00B260C1"/>
    <w:p w:rsidR="00B260C1" w:rsidRDefault="00B260C1" w:rsidP="00B260C1">
      <w:pPr>
        <w:jc w:val="both"/>
      </w:pPr>
      <w:proofErr w:type="gramStart"/>
      <w:r>
        <w:rPr>
          <w:b/>
          <w:bCs/>
        </w:rPr>
        <w:t>SAYI  :</w:t>
      </w:r>
      <w:r>
        <w:t>BO50APK01000003</w:t>
      </w:r>
      <w:proofErr w:type="gramEnd"/>
      <w:r>
        <w:t>/2.2</w:t>
      </w:r>
      <w:r>
        <w:tab/>
      </w:r>
      <w:r>
        <w:tab/>
      </w:r>
      <w:r>
        <w:tab/>
      </w:r>
      <w:r>
        <w:tab/>
      </w:r>
      <w:r>
        <w:tab/>
      </w:r>
      <w:r>
        <w:tab/>
      </w:r>
      <w:r>
        <w:tab/>
        <w:t>06/09/2004</w:t>
      </w:r>
    </w:p>
    <w:p w:rsidR="00B260C1" w:rsidRDefault="00B260C1" w:rsidP="00B260C1">
      <w:pPr>
        <w:rPr>
          <w:bCs/>
        </w:rPr>
      </w:pPr>
      <w:r>
        <w:rPr>
          <w:b/>
          <w:bCs/>
        </w:rPr>
        <w:t>KONU:</w:t>
      </w:r>
      <w:r>
        <w:rPr>
          <w:bCs/>
        </w:rPr>
        <w:t xml:space="preserve"> İLEMOD Veri Aktarımı</w:t>
      </w:r>
    </w:p>
    <w:p w:rsidR="00B260C1" w:rsidRDefault="00B260C1" w:rsidP="00B260C1"/>
    <w:p w:rsidR="00B260C1" w:rsidRDefault="00B260C1" w:rsidP="00B260C1"/>
    <w:p w:rsidR="00B260C1" w:rsidRDefault="00B260C1" w:rsidP="00B260C1">
      <w:pPr>
        <w:jc w:val="center"/>
        <w:rPr>
          <w:u w:val="single"/>
        </w:rPr>
      </w:pPr>
      <w:r>
        <w:rPr>
          <w:u w:val="single"/>
        </w:rPr>
        <w:t>Genelge</w:t>
      </w:r>
    </w:p>
    <w:p w:rsidR="00B260C1" w:rsidRDefault="00B260C1" w:rsidP="00B260C1">
      <w:pPr>
        <w:jc w:val="center"/>
        <w:rPr>
          <w:u w:val="single"/>
        </w:rPr>
      </w:pPr>
      <w:r>
        <w:rPr>
          <w:u w:val="single"/>
        </w:rPr>
        <w:t>2004/135</w:t>
      </w:r>
    </w:p>
    <w:p w:rsidR="00B260C1" w:rsidRDefault="00B260C1" w:rsidP="00B260C1"/>
    <w:p w:rsidR="00B260C1" w:rsidRDefault="00B260C1" w:rsidP="00B260C1"/>
    <w:p w:rsidR="00B260C1" w:rsidRDefault="00B260C1" w:rsidP="00B260C1">
      <w:r>
        <w:rPr>
          <w:b/>
        </w:rPr>
        <w:t>İLGİ</w:t>
      </w:r>
      <w:r>
        <w:t xml:space="preserve">:  </w:t>
      </w:r>
      <w:r>
        <w:rPr>
          <w:b/>
        </w:rPr>
        <w:t xml:space="preserve">a) </w:t>
      </w:r>
      <w:proofErr w:type="gramStart"/>
      <w:r>
        <w:t>12</w:t>
      </w:r>
      <w:r>
        <w:rPr>
          <w:b/>
        </w:rPr>
        <w:t xml:space="preserve"> </w:t>
      </w:r>
      <w:r>
        <w:t>.02</w:t>
      </w:r>
      <w:proofErr w:type="gramEnd"/>
      <w:r>
        <w:t>.2004 tarih ve BO50APK01000003/2.2- 358  sayılı yazımız.</w:t>
      </w:r>
    </w:p>
    <w:p w:rsidR="00B260C1" w:rsidRDefault="00B260C1" w:rsidP="00B260C1">
      <w:pPr>
        <w:ind w:firstLine="708"/>
      </w:pPr>
      <w:r>
        <w:rPr>
          <w:b/>
        </w:rPr>
        <w:t>b)</w:t>
      </w:r>
      <w:r>
        <w:t xml:space="preserve"> 20.10.2003 tarih ve BO50APK01000003/2.2.1-2469 sayılı yazımız.</w:t>
      </w:r>
    </w:p>
    <w:p w:rsidR="00B260C1" w:rsidRDefault="00B260C1" w:rsidP="00B260C1">
      <w:pPr>
        <w:ind w:firstLine="708"/>
        <w:rPr>
          <w:b/>
        </w:rPr>
      </w:pPr>
      <w:r>
        <w:rPr>
          <w:b/>
        </w:rPr>
        <w:t>c)</w:t>
      </w:r>
      <w:r>
        <w:t xml:space="preserve"> 26.08.2003 tarih ve BO50APK01000003/2.2.1.2060 sayılı yazımız.</w:t>
      </w:r>
    </w:p>
    <w:p w:rsidR="00B260C1" w:rsidRDefault="00B260C1" w:rsidP="00B260C1">
      <w:pPr>
        <w:ind w:firstLine="708"/>
      </w:pPr>
      <w:r>
        <w:rPr>
          <w:b/>
        </w:rPr>
        <w:t>d)</w:t>
      </w:r>
      <w:r>
        <w:t xml:space="preserve"> 23.07.2003 tarih ve BO50APK01000003/1804 sayılı yazımız.</w:t>
      </w:r>
    </w:p>
    <w:p w:rsidR="00B260C1" w:rsidRDefault="00B260C1" w:rsidP="00B260C1"/>
    <w:p w:rsidR="00B260C1" w:rsidRDefault="00B260C1" w:rsidP="00B260C1">
      <w:pPr>
        <w:ind w:firstLine="708"/>
        <w:jc w:val="both"/>
      </w:pPr>
      <w:r>
        <w:t xml:space="preserve">Bakanlığımızca yürütülen ve teknik alt yapısı tamamlanmış olan İLEMOD Projesinin gelişimi ilgi </w:t>
      </w:r>
      <w:proofErr w:type="gramStart"/>
      <w:r>
        <w:t>genelgelerle  Valiliklere</w:t>
      </w:r>
      <w:proofErr w:type="gramEnd"/>
      <w:r>
        <w:t xml:space="preserve"> duyurulmuş olup, Proje ile amaçlanan hususların elde edilebilmesi için Valiliklerce veri giriş işlemlerinin zamanında yapılması gerektiği belirtilmişti.</w:t>
      </w:r>
    </w:p>
    <w:p w:rsidR="00B260C1" w:rsidRDefault="00B260C1" w:rsidP="00B260C1">
      <w:pPr>
        <w:ind w:firstLine="708"/>
        <w:jc w:val="both"/>
      </w:pPr>
      <w:r>
        <w:t xml:space="preserve">Valiliklerin veri giriş aktivitelerinin merkezi düzeyde takip edildiği ilgi yazılarda belirtilmiş olmasına karşın EK-1 deki listede görüleceği gibi bazı İllerin veri girişi konusunda istenilen düzeyde olmadığı görülmektedir.  </w:t>
      </w:r>
    </w:p>
    <w:p w:rsidR="00B260C1" w:rsidRDefault="00B260C1" w:rsidP="00B260C1">
      <w:pPr>
        <w:ind w:firstLine="708"/>
        <w:jc w:val="both"/>
      </w:pPr>
      <w:r>
        <w:t xml:space="preserve">Veri toplama ve sorgulama aracı olan İl Envanter programının ortak kullanımı için Çevre ve Orman Bakanlığı, Harita Genel Komutanlığı ile protokol çalışmaları sürdürülmekte olup, İLEMOD Projesinin temel misyonlarından biri olan;   “Verilerin Kamu Kurum ve Kuruluşları </w:t>
      </w:r>
      <w:proofErr w:type="gramStart"/>
      <w:r>
        <w:t xml:space="preserve">ile  </w:t>
      </w:r>
      <w:proofErr w:type="spellStart"/>
      <w:r>
        <w:t>paylaşımı”nın</w:t>
      </w:r>
      <w:proofErr w:type="spellEnd"/>
      <w:proofErr w:type="gramEnd"/>
      <w:r>
        <w:t xml:space="preserve"> yapılacağı bu  aşamada aşağıdaki açıklamalara da gerek duyulmuştur.</w:t>
      </w:r>
    </w:p>
    <w:p w:rsidR="00B260C1" w:rsidRDefault="00B260C1" w:rsidP="00B260C1">
      <w:pPr>
        <w:ind w:firstLine="708"/>
        <w:jc w:val="both"/>
      </w:pPr>
    </w:p>
    <w:p w:rsidR="00B260C1" w:rsidRDefault="00B260C1" w:rsidP="00B260C1">
      <w:pPr>
        <w:numPr>
          <w:ilvl w:val="0"/>
          <w:numId w:val="1"/>
        </w:numPr>
        <w:tabs>
          <w:tab w:val="num" w:pos="0"/>
        </w:tabs>
        <w:ind w:left="0" w:firstLine="1080"/>
        <w:jc w:val="both"/>
      </w:pPr>
      <w:r>
        <w:t xml:space="preserve">Veri girişinde web adresi olarak kullanılan “ilemod.com” adresi yerine “ilemod.gov.tr” adresine geçilecek ve tanıtım aşamasında 2003 yılında belirlenen 88 tablonun içerdiği </w:t>
      </w:r>
      <w:proofErr w:type="gramStart"/>
      <w:r>
        <w:t>veriler  bazında</w:t>
      </w:r>
      <w:proofErr w:type="gramEnd"/>
      <w:r>
        <w:t xml:space="preserve"> İllerden örnekler verilecektir. Bu nedenle belirlenen 88 tablo bilgilerinin 24.09.2004 tarihine kadar merkeze aktarılması sağlanacaktır. </w:t>
      </w:r>
    </w:p>
    <w:p w:rsidR="00B260C1" w:rsidRDefault="00B260C1" w:rsidP="00B260C1">
      <w:pPr>
        <w:ind w:left="708"/>
        <w:jc w:val="both"/>
      </w:pPr>
    </w:p>
    <w:p w:rsidR="00B260C1" w:rsidRDefault="00B260C1" w:rsidP="00B260C1">
      <w:pPr>
        <w:numPr>
          <w:ilvl w:val="0"/>
          <w:numId w:val="2"/>
        </w:numPr>
        <w:ind w:left="0" w:firstLine="1068"/>
        <w:jc w:val="both"/>
      </w:pPr>
      <w:r>
        <w:t>“ilemod.gov.tr” adresine geçiş Bakanlık tarafından “ilemod.com” web sayfasında duyurulacaktır.</w:t>
      </w:r>
    </w:p>
    <w:p w:rsidR="00B260C1" w:rsidRDefault="00B260C1" w:rsidP="00B260C1">
      <w:pPr>
        <w:jc w:val="both"/>
      </w:pPr>
    </w:p>
    <w:p w:rsidR="00B260C1" w:rsidRDefault="00B260C1" w:rsidP="00B260C1">
      <w:pPr>
        <w:numPr>
          <w:ilvl w:val="0"/>
          <w:numId w:val="3"/>
        </w:numPr>
        <w:tabs>
          <w:tab w:val="num" w:pos="0"/>
        </w:tabs>
        <w:ind w:left="180" w:firstLine="900"/>
        <w:jc w:val="both"/>
      </w:pPr>
      <w:r>
        <w:t>Donanım eksikliği ve 27 Ağustos 2004 tarihinde yapılan atama onayı ile tüm illere İl Planlama Uzman Yardımcısı görevlendirildiğinden veri girişleri daha da etkin bir şekilde girilecek ve hatta bu hususta Valiliklerimiz gerekli tedbirleri alacaklardır.</w:t>
      </w:r>
    </w:p>
    <w:p w:rsidR="00B260C1" w:rsidRDefault="00B260C1" w:rsidP="00B260C1">
      <w:pPr>
        <w:ind w:left="720"/>
        <w:jc w:val="both"/>
      </w:pPr>
    </w:p>
    <w:p w:rsidR="00B260C1" w:rsidRDefault="00B260C1" w:rsidP="00B260C1">
      <w:pPr>
        <w:numPr>
          <w:ilvl w:val="0"/>
          <w:numId w:val="3"/>
        </w:numPr>
        <w:tabs>
          <w:tab w:val="num" w:pos="0"/>
        </w:tabs>
        <w:ind w:left="0" w:firstLine="1080"/>
        <w:jc w:val="both"/>
      </w:pPr>
      <w:r>
        <w:t xml:space="preserve">“ilemod.com” adresinde yer alan donanım durumu raporu sürekli </w:t>
      </w:r>
      <w:proofErr w:type="gramStart"/>
      <w:r>
        <w:t>olarak  güncel</w:t>
      </w:r>
      <w:proofErr w:type="gramEnd"/>
      <w:r>
        <w:t xml:space="preserve"> tutulacaktır. </w:t>
      </w:r>
    </w:p>
    <w:p w:rsidR="00B260C1" w:rsidRDefault="00B260C1" w:rsidP="00B260C1">
      <w:pPr>
        <w:jc w:val="both"/>
      </w:pPr>
    </w:p>
    <w:p w:rsidR="00B260C1" w:rsidRDefault="00B260C1" w:rsidP="00B260C1">
      <w:pPr>
        <w:numPr>
          <w:ilvl w:val="0"/>
          <w:numId w:val="3"/>
        </w:numPr>
        <w:tabs>
          <w:tab w:val="num" w:pos="0"/>
        </w:tabs>
        <w:ind w:left="0" w:firstLine="1080"/>
        <w:jc w:val="both"/>
      </w:pPr>
      <w:r>
        <w:t xml:space="preserve">Yapılacak işlere ve karşılaşılan sorunlara ilişkin iş ve işlemler ile haberler “ilemod.com” sayfasında duyurulduğu, bu sayfanın her </w:t>
      </w:r>
      <w:proofErr w:type="gramStart"/>
      <w:r>
        <w:t>gün  ziyaret</w:t>
      </w:r>
      <w:proofErr w:type="gramEnd"/>
      <w:r>
        <w:t xml:space="preserve"> edilerek “forum” başlığı altında yapılan açıklamaların  takip edilmesi gerektiği ilgi genelgelerde belirtilmesine rağmen </w:t>
      </w:r>
      <w:r>
        <w:lastRenderedPageBreak/>
        <w:t xml:space="preserve">bu sayfada yapılan açıklamaların günlük izlenmediğinden aynı  sorun için tüm İller ayrı ayrı açıklama talep etmekte, bu durum merkezde gereksiz iş yüküne neden olmaktadır. </w:t>
      </w:r>
    </w:p>
    <w:p w:rsidR="00B260C1" w:rsidRDefault="00B260C1" w:rsidP="00B260C1">
      <w:pPr>
        <w:jc w:val="both"/>
      </w:pPr>
    </w:p>
    <w:p w:rsidR="00B260C1" w:rsidRDefault="00B260C1" w:rsidP="00B260C1">
      <w:pPr>
        <w:ind w:left="720"/>
        <w:jc w:val="both"/>
      </w:pPr>
    </w:p>
    <w:p w:rsidR="00B260C1" w:rsidRDefault="00B260C1" w:rsidP="00B260C1">
      <w:pPr>
        <w:ind w:firstLine="708"/>
        <w:jc w:val="both"/>
      </w:pPr>
      <w:r>
        <w:t>Valiliklerce, belirtilen bu esaslar doğrultusunda çalışmaların sürdürülmesi yönünde gereğini rica ederim.</w:t>
      </w:r>
    </w:p>
    <w:p w:rsidR="00B260C1" w:rsidRDefault="00B260C1" w:rsidP="00B260C1">
      <w:pPr>
        <w:jc w:val="both"/>
      </w:pPr>
    </w:p>
    <w:p w:rsidR="00B260C1" w:rsidRDefault="00B260C1" w:rsidP="00B260C1">
      <w:pPr>
        <w:ind w:left="5664" w:firstLine="708"/>
        <w:jc w:val="center"/>
      </w:pPr>
    </w:p>
    <w:p w:rsidR="00B260C1" w:rsidRDefault="00B260C1" w:rsidP="00B260C1">
      <w:pPr>
        <w:ind w:left="5664" w:firstLine="708"/>
        <w:jc w:val="center"/>
      </w:pPr>
      <w:r>
        <w:t>Şahabettin HARPUT</w:t>
      </w:r>
    </w:p>
    <w:p w:rsidR="00B260C1" w:rsidRDefault="00B260C1" w:rsidP="00B260C1">
      <w:pPr>
        <w:ind w:left="5664" w:firstLine="708"/>
        <w:jc w:val="center"/>
      </w:pPr>
      <w:r>
        <w:t>Vali</w:t>
      </w:r>
    </w:p>
    <w:p w:rsidR="00B260C1" w:rsidRDefault="00B260C1" w:rsidP="00B260C1">
      <w:pPr>
        <w:ind w:left="5664" w:firstLine="708"/>
        <w:jc w:val="center"/>
      </w:pPr>
      <w:r>
        <w:t>Bakan a.</w:t>
      </w:r>
    </w:p>
    <w:p w:rsidR="00B260C1" w:rsidRDefault="00B260C1" w:rsidP="00B260C1">
      <w:pPr>
        <w:ind w:left="5664" w:firstLine="708"/>
        <w:jc w:val="center"/>
      </w:pPr>
      <w:r>
        <w:t>Müsteşar V.</w:t>
      </w:r>
    </w:p>
    <w:p w:rsidR="00B260C1" w:rsidRDefault="00B260C1" w:rsidP="00B260C1">
      <w:pPr>
        <w:ind w:left="5664" w:firstLine="708"/>
        <w:jc w:val="center"/>
      </w:pPr>
    </w:p>
    <w:p w:rsidR="00B260C1" w:rsidRDefault="00B260C1" w:rsidP="00B260C1">
      <w:pPr>
        <w:ind w:left="5664" w:firstLine="708"/>
        <w:jc w:val="center"/>
      </w:pPr>
    </w:p>
    <w:p w:rsidR="00B260C1" w:rsidRDefault="00B260C1" w:rsidP="00B260C1">
      <w:pPr>
        <w:rPr>
          <w:u w:val="single"/>
        </w:rPr>
      </w:pPr>
      <w:r>
        <w:rPr>
          <w:u w:val="single"/>
        </w:rPr>
        <w:t>EKLER:</w:t>
      </w:r>
    </w:p>
    <w:p w:rsidR="00B260C1" w:rsidRDefault="00B260C1" w:rsidP="00B260C1">
      <w:r>
        <w:t>Ek-1: Veri Giriş Listesi</w:t>
      </w:r>
    </w:p>
    <w:p w:rsidR="00B260C1" w:rsidRDefault="00B260C1" w:rsidP="00B260C1"/>
    <w:p w:rsidR="00B260C1" w:rsidRDefault="00B260C1" w:rsidP="00B260C1">
      <w:pPr>
        <w:rPr>
          <w:u w:val="single"/>
        </w:rPr>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tabs>
          <w:tab w:val="left" w:pos="5490"/>
        </w:tabs>
      </w:pPr>
    </w:p>
    <w:p w:rsidR="00B260C1" w:rsidRDefault="00B260C1" w:rsidP="00B260C1">
      <w:pPr>
        <w:jc w:val="center"/>
      </w:pPr>
      <w:r>
        <w:lastRenderedPageBreak/>
        <w:t>T.C.</w:t>
      </w:r>
    </w:p>
    <w:p w:rsidR="00B260C1" w:rsidRDefault="00B260C1" w:rsidP="00B260C1">
      <w:pPr>
        <w:jc w:val="center"/>
      </w:pPr>
      <w:r>
        <w:t xml:space="preserve">İÇİŞLERİ BAKANLIĞI </w:t>
      </w:r>
    </w:p>
    <w:p w:rsidR="00B260C1" w:rsidRDefault="00B260C1" w:rsidP="00B260C1">
      <w:pPr>
        <w:jc w:val="center"/>
      </w:pPr>
      <w:r>
        <w:t xml:space="preserve">Araştırma, Planlama ve Koordinasyon Kurulu Başkanlığı </w:t>
      </w:r>
    </w:p>
    <w:p w:rsidR="00B260C1" w:rsidRDefault="00B260C1" w:rsidP="00B260C1"/>
    <w:p w:rsidR="00B260C1" w:rsidRDefault="00B260C1" w:rsidP="00B260C1"/>
    <w:p w:rsidR="00B260C1" w:rsidRDefault="00B260C1" w:rsidP="00B260C1">
      <w:proofErr w:type="gramStart"/>
      <w:r>
        <w:t>SAYI   : B050APK0010002</w:t>
      </w:r>
      <w:proofErr w:type="gramEnd"/>
      <w:r>
        <w:t>.5.4-2/</w:t>
      </w:r>
      <w:r>
        <w:tab/>
      </w:r>
      <w:r>
        <w:tab/>
      </w:r>
      <w:r>
        <w:tab/>
      </w:r>
      <w:r>
        <w:tab/>
      </w:r>
      <w:r>
        <w:tab/>
        <w:t xml:space="preserve">                           .../02/2005</w:t>
      </w:r>
    </w:p>
    <w:p w:rsidR="00B260C1" w:rsidRDefault="00B260C1" w:rsidP="00B260C1">
      <w:pPr>
        <w:pStyle w:val="Altbilgi"/>
        <w:rPr>
          <w:sz w:val="24"/>
          <w:szCs w:val="24"/>
          <w:lang w:val="tr-TR"/>
        </w:rPr>
      </w:pPr>
      <w:proofErr w:type="gramStart"/>
      <w:r>
        <w:rPr>
          <w:sz w:val="24"/>
          <w:szCs w:val="24"/>
          <w:lang w:val="tr-TR"/>
        </w:rPr>
        <w:t>KONU : KDRP</w:t>
      </w:r>
      <w:proofErr w:type="gramEnd"/>
      <w:r>
        <w:rPr>
          <w:sz w:val="24"/>
          <w:szCs w:val="24"/>
          <w:lang w:val="tr-TR"/>
        </w:rPr>
        <w:t xml:space="preserve">  Program Toplantıları</w:t>
      </w:r>
    </w:p>
    <w:p w:rsidR="00B260C1" w:rsidRDefault="00B260C1" w:rsidP="00B260C1">
      <w:pPr>
        <w:pStyle w:val="msobodytextfirstindent"/>
        <w:ind w:left="6372" w:firstLine="0"/>
        <w:rPr>
          <w:b w:val="0"/>
          <w:szCs w:val="24"/>
        </w:rPr>
      </w:pPr>
    </w:p>
    <w:p w:rsidR="00B260C1" w:rsidRDefault="00B260C1" w:rsidP="00B260C1"/>
    <w:p w:rsidR="00B260C1" w:rsidRDefault="00B260C1" w:rsidP="00B260C1">
      <w:pPr>
        <w:ind w:firstLine="708"/>
        <w:jc w:val="center"/>
      </w:pPr>
      <w:r>
        <w:rPr>
          <w:u w:val="single"/>
        </w:rPr>
        <w:t>Genelg</w:t>
      </w:r>
      <w:r>
        <w:t>e</w:t>
      </w:r>
    </w:p>
    <w:p w:rsidR="00B260C1" w:rsidRDefault="00B260C1" w:rsidP="00B260C1">
      <w:pPr>
        <w:ind w:firstLine="708"/>
        <w:jc w:val="center"/>
      </w:pPr>
      <w:r>
        <w:t>2005-15</w:t>
      </w:r>
    </w:p>
    <w:p w:rsidR="00B260C1" w:rsidRDefault="00B260C1" w:rsidP="00B260C1">
      <w:pPr>
        <w:ind w:firstLine="708"/>
        <w:jc w:val="both"/>
      </w:pPr>
    </w:p>
    <w:p w:rsidR="00B260C1" w:rsidRDefault="00B260C1" w:rsidP="00B260C1">
      <w:pPr>
        <w:ind w:firstLine="708"/>
        <w:jc w:val="both"/>
      </w:pPr>
      <w:r>
        <w:t>Ülkemizin Doğu ve Güneydoğu bölgelerinde 1984-1998 yılları arasında yaşanan yoğun terör olayları nedeniyle çok sayıda vatandaşımız yaşadığı yerleri terk etmek zorunda kalmışlardır. Yaşanan ayrılıkçı terör olaylarının 1998 yılından itibaren etkisini azaltmaya başlamasının sonucu olarak, daha önce özellikle güvenlik nedenleriyle köylerinden ayrılmak zorunda kalmış olan vatandaşlarımızda köylerine geri dönme isteği belirmeye başlamıştır. Güvenliği sağlanan bölgelere geri dönüş Devlet tarafından da benimsenmiş ve uygulama çalışmaları başlatılmıştır.</w:t>
      </w:r>
    </w:p>
    <w:p w:rsidR="00B260C1" w:rsidRDefault="00B260C1" w:rsidP="00B260C1">
      <w:pPr>
        <w:jc w:val="both"/>
      </w:pPr>
    </w:p>
    <w:p w:rsidR="00B260C1" w:rsidRDefault="00B260C1" w:rsidP="00B260C1">
      <w:pPr>
        <w:ind w:firstLine="708"/>
        <w:jc w:val="both"/>
      </w:pPr>
      <w:r>
        <w:t xml:space="preserve">Köylerinden ayrılan ailelerden gönüllü olarak geri dönmek isteyenlerin kendi köyleri civarında veya arazisi müsait başka yerlerde </w:t>
      </w:r>
      <w:proofErr w:type="gramStart"/>
      <w:r>
        <w:t>iskan</w:t>
      </w:r>
      <w:proofErr w:type="gramEnd"/>
      <w:r>
        <w:t xml:space="preserve"> edilmeleri ve gerekli sosyal ve ekonomik alt yapının tesisi ile bu yerleşmelerde sürdürülebilir yaşam koşullarının sağlanması amacına yönelik olarak 1994 yılında Köye Dönüş ve Rehabilitasyon Projesi (KDRP) başlatılmış olup, Proje 2000 yılından itibaren Bakanlığımız sorumluluğunda yürütülmektedir.</w:t>
      </w:r>
    </w:p>
    <w:p w:rsidR="00B260C1" w:rsidRDefault="00B260C1" w:rsidP="00B260C1">
      <w:pPr>
        <w:jc w:val="both"/>
      </w:pPr>
    </w:p>
    <w:p w:rsidR="00B260C1" w:rsidRDefault="00B260C1" w:rsidP="00B260C1">
      <w:pPr>
        <w:ind w:firstLine="708"/>
        <w:jc w:val="both"/>
      </w:pPr>
      <w:proofErr w:type="gramStart"/>
      <w:r>
        <w:t xml:space="preserve">Ancak son yıllarda çeşitli </w:t>
      </w:r>
      <w:proofErr w:type="spellStart"/>
      <w:r>
        <w:t>saiklerle</w:t>
      </w:r>
      <w:proofErr w:type="spellEnd"/>
      <w:r>
        <w:t xml:space="preserve"> köylerini terk etmek durumunda kalan vatandaşlarımızın Avrupa İnsan Hakları Mahkemesinde (AİHM) devletimiz aleyhinde açtıkları davalar ile uluslararası kuruluşlar ve sivil toplum kuruluşlarının, konuyu, Avrupa Birliğine girme konusunda kararlı olduğunu gösteren hükümetlerimizin karşısına her fırsatta gündeme taşıma gayretleri nedeniyle, ülkemizde yaşanan göç olaylarının uluslararası bir boyut kazandığı görülmektedir. </w:t>
      </w:r>
      <w:proofErr w:type="gramEnd"/>
      <w:r>
        <w:t xml:space="preserve">Konuyla ilgili olarak; </w:t>
      </w:r>
    </w:p>
    <w:p w:rsidR="00B260C1" w:rsidRDefault="00B260C1" w:rsidP="00B260C1">
      <w:pPr>
        <w:jc w:val="both"/>
      </w:pPr>
    </w:p>
    <w:p w:rsidR="00B260C1" w:rsidRDefault="00B260C1" w:rsidP="00B260C1">
      <w:pPr>
        <w:ind w:firstLine="708"/>
        <w:jc w:val="both"/>
      </w:pPr>
      <w:proofErr w:type="gramStart"/>
      <w:r>
        <w:t xml:space="preserve">1- BM Genel Sekreteri’nin Yerinden Edilmiş Kişiler (IDP) Özel Temsilcisi Francis </w:t>
      </w:r>
      <w:proofErr w:type="spellStart"/>
      <w:r>
        <w:t>Deng’in</w:t>
      </w:r>
      <w:proofErr w:type="spellEnd"/>
      <w:r>
        <w:t xml:space="preserve"> 2002 yılında Türkiye’yi ziyaretini müteakiben adı geçen tarafından hazırlanan raporda “Türkiye’nin </w:t>
      </w:r>
      <w:proofErr w:type="spellStart"/>
      <w:r>
        <w:t>IDP’lere</w:t>
      </w:r>
      <w:proofErr w:type="spellEnd"/>
      <w:r>
        <w:t xml:space="preserve"> yönelik politikasına daha fazla açıklık getirmesi gerektiği vurgulanmış, özellikle IDP sorununun nitelik ve boyutuna ilişkin istatistiki verilerin toplanması, Hükümetin geri dönüş programı çerçevesinde uluslararası örgütler ve sivil toplum kuruluşlarıyla işbirliğine yönelmesi gerektiği” belirtilmiştir.</w:t>
      </w:r>
      <w:proofErr w:type="gramEnd"/>
    </w:p>
    <w:p w:rsidR="00B260C1" w:rsidRDefault="00B260C1" w:rsidP="00B260C1">
      <w:pPr>
        <w:jc w:val="both"/>
      </w:pPr>
    </w:p>
    <w:p w:rsidR="00B260C1" w:rsidRDefault="00B260C1" w:rsidP="00B260C1">
      <w:pPr>
        <w:ind w:firstLine="708"/>
        <w:jc w:val="both"/>
      </w:pPr>
      <w:proofErr w:type="spellStart"/>
      <w:r>
        <w:t>Deng</w:t>
      </w:r>
      <w:proofErr w:type="spellEnd"/>
      <w:r>
        <w:t xml:space="preserve"> Raporunun yayınlanmasının ardından Türk Hükümeti 2003 yılında uluslararası toplum ile diyalog başlatmış, </w:t>
      </w:r>
      <w:proofErr w:type="spellStart"/>
      <w:r>
        <w:t>IDP’ler</w:t>
      </w:r>
      <w:proofErr w:type="spellEnd"/>
      <w:r>
        <w:t xml:space="preserve"> ve KDRP konularında başta Birleşmiş Milletler (BM) ve Avrupa Birliği (AB) olmak üzere uluslararası kuruluşlarla işbirliği yapma </w:t>
      </w:r>
      <w:proofErr w:type="gramStart"/>
      <w:r>
        <w:t>inisiyatifi</w:t>
      </w:r>
      <w:proofErr w:type="gramEnd"/>
      <w:r>
        <w:t xml:space="preserve"> çerçevesinde, Aralık 2003 tarihinden itibaren BM Mukim Temsilcisi, BM Mülteciler Yüksek Komiserliği (BMMYK), Uluslararası Göç Örgütü (IOM), Birleşmiş Milletler Kalkınma Programı (UNDP), Dünya Bankası, Avrupa Komisyonu temsilcileri ve ilgili kuruluşlarımızın temsilcilerinin katılımı ile toplantılar yapılmıştır. Yapılan toplantılar sonucunda; geri dönmek için başvuran ve </w:t>
      </w:r>
      <w:proofErr w:type="gramStart"/>
      <w:r>
        <w:t>geri  dönüş</w:t>
      </w:r>
      <w:proofErr w:type="gramEnd"/>
      <w:r>
        <w:t xml:space="preserve">  yapan nüfusun,  geri  dönmek için başvuran ancak geri dönüşleri </w:t>
      </w:r>
    </w:p>
    <w:p w:rsidR="00B260C1" w:rsidRDefault="00B260C1" w:rsidP="00B260C1">
      <w:pPr>
        <w:jc w:val="both"/>
      </w:pPr>
      <w:r>
        <w:t xml:space="preserve">gerçekleşmeyen nüfusun, göç etmiş ancak KDRP çerçevesinde herhangi bir başvuruda bulunmamış nüfusun yaşadıkları yerlerde karşılaştıkları sorunlar, beklentileri, dönme </w:t>
      </w:r>
      <w:r>
        <w:lastRenderedPageBreak/>
        <w:t xml:space="preserve">eğilimleri ve </w:t>
      </w:r>
      <w:proofErr w:type="gramStart"/>
      <w:r>
        <w:t>taleplerinin  tespiti</w:t>
      </w:r>
      <w:proofErr w:type="gramEnd"/>
      <w:r>
        <w:t xml:space="preserve"> ve özellikle </w:t>
      </w:r>
      <w:proofErr w:type="spellStart"/>
      <w:r>
        <w:t>IDP’lere</w:t>
      </w:r>
      <w:proofErr w:type="spellEnd"/>
      <w:r>
        <w:t xml:space="preserve"> ilişkin güncel istatistiki verilerin toplanabilmesi amacıyla Devlet Planlama Teşkilatı (DPT),  kapsamlı ve bağımsız bir araştırmanın yapılması konusunda Hacettepe Üniversitesi Nüfus Etütleri Enstitüsü’nü (HÜNEE) görevlendirmiştir. </w:t>
      </w:r>
    </w:p>
    <w:p w:rsidR="00B260C1" w:rsidRDefault="00B260C1" w:rsidP="00B260C1">
      <w:pPr>
        <w:jc w:val="both"/>
      </w:pPr>
    </w:p>
    <w:p w:rsidR="00B260C1" w:rsidRDefault="00B260C1" w:rsidP="00B260C1">
      <w:pPr>
        <w:ind w:firstLine="708"/>
        <w:jc w:val="both"/>
      </w:pPr>
      <w:r>
        <w:t>2- 2000-2001 yılları arasında Avrupa İnsan Hakları Mahkemesi’ne (AİHM) yönelik olarak “1990-96 döneminde meydana gelen terör olayları nedeniyle güvenlik güçlerince köylerini terke zorlandıkları ve köylerine geri dönmek istemelerine rağmen engellemelerle karşılaştıkları” iddiasıyla bu güne kadar toplam 1393 kişinin 540 başvurusu Hükümetimizin dikkatine getirilmiştir. Söz konusu başvuruların sayısının 1500’ü aşabileceği ve AİHM’nin örnek davalar hakkında verdiği kararlar dikkate alındığında söz konusu başvuruların büyük kısmının ülkemiz aleyhine sonuçlanabileceği değerlendirilmektedir.</w:t>
      </w:r>
    </w:p>
    <w:p w:rsidR="00B260C1" w:rsidRDefault="00B260C1" w:rsidP="00B260C1">
      <w:pPr>
        <w:jc w:val="both"/>
      </w:pPr>
    </w:p>
    <w:p w:rsidR="00B260C1" w:rsidRDefault="00B260C1" w:rsidP="00B260C1">
      <w:pPr>
        <w:ind w:firstLine="720"/>
        <w:jc w:val="both"/>
      </w:pPr>
      <w:r>
        <w:t xml:space="preserve">3- Ülkemizin uluslararası muhataplarıyla temaslarında ve AİHM’deki davalarda savunduğu temel husus, Türkiye’deki Yerinden Edilmiş Kişiler sorununa çözüm olarak </w:t>
      </w:r>
      <w:proofErr w:type="spellStart"/>
      <w:r>
        <w:t>KDRP’nin</w:t>
      </w:r>
      <w:proofErr w:type="spellEnd"/>
      <w:r>
        <w:t xml:space="preserve"> bulunduğu ve uygulanmakta olduğudur. Ancak uluslararası kuruluşlar ve </w:t>
      </w:r>
      <w:proofErr w:type="spellStart"/>
      <w:r>
        <w:t>STÖ’lerce</w:t>
      </w:r>
      <w:proofErr w:type="spellEnd"/>
      <w:r>
        <w:t>, AB İlerleme Raporuna da konu olan KDRP hakkında;</w:t>
      </w:r>
    </w:p>
    <w:p w:rsidR="00B260C1" w:rsidRDefault="00B260C1" w:rsidP="00B260C1">
      <w:pPr>
        <w:ind w:left="360"/>
        <w:jc w:val="both"/>
      </w:pPr>
    </w:p>
    <w:p w:rsidR="00B260C1" w:rsidRDefault="00B260C1" w:rsidP="00B260C1">
      <w:pPr>
        <w:numPr>
          <w:ilvl w:val="0"/>
          <w:numId w:val="4"/>
        </w:numPr>
        <w:jc w:val="both"/>
      </w:pPr>
      <w:proofErr w:type="gramStart"/>
      <w:r>
        <w:t>yeterince</w:t>
      </w:r>
      <w:proofErr w:type="gramEnd"/>
      <w:r>
        <w:t xml:space="preserve"> saydam olmadığı,</w:t>
      </w:r>
    </w:p>
    <w:p w:rsidR="00B260C1" w:rsidRDefault="00B260C1" w:rsidP="00B260C1">
      <w:pPr>
        <w:numPr>
          <w:ilvl w:val="0"/>
          <w:numId w:val="4"/>
        </w:numPr>
        <w:jc w:val="both"/>
      </w:pPr>
      <w:proofErr w:type="gramStart"/>
      <w:r>
        <w:t>uygulandığı</w:t>
      </w:r>
      <w:proofErr w:type="gramEnd"/>
      <w:r>
        <w:t xml:space="preserve"> illerde yeknesaklık ve eşgüdümün bulunmadığı,</w:t>
      </w:r>
    </w:p>
    <w:p w:rsidR="00B260C1" w:rsidRDefault="00B260C1" w:rsidP="00B260C1">
      <w:pPr>
        <w:numPr>
          <w:ilvl w:val="0"/>
          <w:numId w:val="4"/>
        </w:numPr>
        <w:jc w:val="both"/>
      </w:pPr>
      <w:proofErr w:type="gramStart"/>
      <w:r>
        <w:t>yeterli</w:t>
      </w:r>
      <w:proofErr w:type="gramEnd"/>
      <w:r>
        <w:t xml:space="preserve"> ödenek ayrılmadığı,</w:t>
      </w:r>
    </w:p>
    <w:p w:rsidR="00B260C1" w:rsidRDefault="00B260C1" w:rsidP="00B260C1">
      <w:pPr>
        <w:numPr>
          <w:ilvl w:val="0"/>
          <w:numId w:val="4"/>
        </w:numPr>
        <w:jc w:val="both"/>
      </w:pPr>
      <w:proofErr w:type="gramStart"/>
      <w:r>
        <w:t>uygulama</w:t>
      </w:r>
      <w:proofErr w:type="gramEnd"/>
      <w:r>
        <w:t xml:space="preserve"> takviminin olmadığı,</w:t>
      </w:r>
    </w:p>
    <w:p w:rsidR="00B260C1" w:rsidRDefault="00B260C1" w:rsidP="00B260C1">
      <w:pPr>
        <w:numPr>
          <w:ilvl w:val="0"/>
          <w:numId w:val="4"/>
        </w:numPr>
        <w:jc w:val="both"/>
      </w:pPr>
      <w:proofErr w:type="gramStart"/>
      <w:r>
        <w:t>sürecin</w:t>
      </w:r>
      <w:proofErr w:type="gramEnd"/>
      <w:r>
        <w:t xml:space="preserve"> katılımcı özelliğinin eksikliği,</w:t>
      </w:r>
    </w:p>
    <w:p w:rsidR="00B260C1" w:rsidRDefault="00B260C1" w:rsidP="00B260C1">
      <w:pPr>
        <w:numPr>
          <w:ilvl w:val="0"/>
          <w:numId w:val="4"/>
        </w:numPr>
        <w:jc w:val="both"/>
      </w:pPr>
      <w:proofErr w:type="gramStart"/>
      <w:r>
        <w:t>göçe</w:t>
      </w:r>
      <w:proofErr w:type="gramEnd"/>
      <w:r>
        <w:t xml:space="preserve"> ilişkin rakamların gerçeği yansıtmadığı</w:t>
      </w:r>
    </w:p>
    <w:p w:rsidR="00B260C1" w:rsidRDefault="00B260C1" w:rsidP="00B260C1">
      <w:pPr>
        <w:jc w:val="both"/>
      </w:pPr>
    </w:p>
    <w:p w:rsidR="00B260C1" w:rsidRDefault="00B260C1" w:rsidP="00B260C1">
      <w:pPr>
        <w:jc w:val="both"/>
      </w:pPr>
      <w:proofErr w:type="gramStart"/>
      <w:r>
        <w:t>konularında  eleştiriler</w:t>
      </w:r>
      <w:proofErr w:type="gramEnd"/>
      <w:r>
        <w:t xml:space="preserve"> yöneltilmektedir. Ayrıca; KDRP kapsamında yapılan çalışmaların farklı birimlerce icra edilmesi, birimler arası işbirliğinin yeterli düzeyde olmaması, karar alma ve uygulama süreçlerinde sorunun doğrudan muhatapları olan insanların görüşlerine yeterince yer verilmemesi ve konuyla ilgili ortak politikaların uygulanamaması konuları da eleştirilmektedir.</w:t>
      </w:r>
    </w:p>
    <w:p w:rsidR="00B260C1" w:rsidRDefault="00B260C1" w:rsidP="00B260C1">
      <w:pPr>
        <w:jc w:val="both"/>
      </w:pPr>
    </w:p>
    <w:p w:rsidR="00B260C1" w:rsidRDefault="00B260C1" w:rsidP="00B260C1">
      <w:pPr>
        <w:ind w:firstLine="360"/>
        <w:jc w:val="both"/>
      </w:pPr>
      <w:r>
        <w:t xml:space="preserve">Köye dönüş olgusunu tüm yönleriyle değerlendirmek </w:t>
      </w:r>
      <w:proofErr w:type="gramStart"/>
      <w:r>
        <w:t>üzere  ilgili</w:t>
      </w:r>
      <w:proofErr w:type="gramEnd"/>
      <w:r>
        <w:t xml:space="preserve"> tüm birimlerin üst düzeyde katılımıyla oluşturulacak ve gerekli hallerde STÖ’lerin de katılımının sağlanabileceği bir komisyon oluşturulmasının; </w:t>
      </w:r>
    </w:p>
    <w:p w:rsidR="00B260C1" w:rsidRDefault="00B260C1" w:rsidP="00B260C1">
      <w:pPr>
        <w:ind w:left="360"/>
        <w:jc w:val="both"/>
      </w:pPr>
    </w:p>
    <w:p w:rsidR="00B260C1" w:rsidRDefault="00B260C1" w:rsidP="00B260C1">
      <w:pPr>
        <w:numPr>
          <w:ilvl w:val="0"/>
          <w:numId w:val="5"/>
        </w:numPr>
        <w:jc w:val="both"/>
      </w:pPr>
      <w:proofErr w:type="gramStart"/>
      <w:r>
        <w:t>geri</w:t>
      </w:r>
      <w:proofErr w:type="gramEnd"/>
      <w:r>
        <w:t xml:space="preserve"> dönüşlerle ilgili çalışmaların sürekli gündemde tutulmasına,</w:t>
      </w:r>
    </w:p>
    <w:p w:rsidR="00B260C1" w:rsidRDefault="00B260C1" w:rsidP="00B260C1">
      <w:pPr>
        <w:numPr>
          <w:ilvl w:val="0"/>
          <w:numId w:val="5"/>
        </w:numPr>
        <w:jc w:val="both"/>
      </w:pPr>
      <w:proofErr w:type="gramStart"/>
      <w:r>
        <w:t>ortak</w:t>
      </w:r>
      <w:proofErr w:type="gramEnd"/>
      <w:r>
        <w:t xml:space="preserve"> politikaların oluşturulmasına, </w:t>
      </w:r>
    </w:p>
    <w:p w:rsidR="00B260C1" w:rsidRDefault="00B260C1" w:rsidP="00B260C1">
      <w:pPr>
        <w:numPr>
          <w:ilvl w:val="0"/>
          <w:numId w:val="5"/>
        </w:numPr>
        <w:jc w:val="both"/>
      </w:pPr>
      <w:proofErr w:type="gramStart"/>
      <w:r>
        <w:t>konuyla</w:t>
      </w:r>
      <w:proofErr w:type="gramEnd"/>
      <w:r>
        <w:t xml:space="preserve"> ilgili birimler arasında koordinasyon ve işbirliğinin geliştirilmesine, </w:t>
      </w:r>
    </w:p>
    <w:p w:rsidR="00B260C1" w:rsidRDefault="00B260C1" w:rsidP="00B260C1">
      <w:pPr>
        <w:numPr>
          <w:ilvl w:val="0"/>
          <w:numId w:val="5"/>
        </w:numPr>
        <w:jc w:val="both"/>
      </w:pPr>
      <w:proofErr w:type="gramStart"/>
      <w:r>
        <w:t>uluslararası</w:t>
      </w:r>
      <w:proofErr w:type="gramEnd"/>
      <w:r>
        <w:t xml:space="preserve"> muhataplarımızın ve STÖ’lerin ülkemizde konuyla ilgili bilgi alabileceği bir temas noktasının oluşturulmasına katkı sağlayabileceği, </w:t>
      </w:r>
    </w:p>
    <w:p w:rsidR="00B260C1" w:rsidRDefault="00B260C1" w:rsidP="00B260C1">
      <w:pPr>
        <w:numPr>
          <w:ilvl w:val="0"/>
          <w:numId w:val="5"/>
        </w:numPr>
        <w:jc w:val="both"/>
      </w:pPr>
      <w:proofErr w:type="gramStart"/>
      <w:r>
        <w:t>ayrıca</w:t>
      </w:r>
      <w:proofErr w:type="gramEnd"/>
      <w:r>
        <w:t xml:space="preserve">; yapılan çalışmalar, üretilen politikalar ve diğer sayısal verilerin belirli zaman aralıklarında, bu komisyon marifetiyle yayınlanacak raporlarla iç ve dış kamuoyuna duyurulması </w:t>
      </w:r>
    </w:p>
    <w:p w:rsidR="00B260C1" w:rsidRDefault="00B260C1" w:rsidP="00B260C1">
      <w:pPr>
        <w:jc w:val="both"/>
      </w:pPr>
    </w:p>
    <w:p w:rsidR="00B260C1" w:rsidRDefault="00B260C1" w:rsidP="00B260C1">
      <w:pPr>
        <w:jc w:val="both"/>
      </w:pPr>
      <w:r>
        <w:t xml:space="preserve">konunun </w:t>
      </w:r>
      <w:proofErr w:type="gramStart"/>
      <w:r>
        <w:t>spekülatif</w:t>
      </w:r>
      <w:proofErr w:type="gramEnd"/>
      <w:r>
        <w:t xml:space="preserve"> bir malzeme olarak kullanılmasının önüne geçerek, açıklığın, katılımcılığın ve şeffaflığın sağlanmasına da yardımcı olacağı yönündeki Bakanlığımız görüşleri Başbakanlığa bildirilmiştir.</w:t>
      </w:r>
    </w:p>
    <w:p w:rsidR="00B260C1" w:rsidRDefault="00B260C1" w:rsidP="00B260C1">
      <w:pPr>
        <w:jc w:val="both"/>
      </w:pPr>
    </w:p>
    <w:p w:rsidR="00B260C1" w:rsidRDefault="00B260C1" w:rsidP="00B260C1">
      <w:pPr>
        <w:ind w:firstLine="708"/>
        <w:jc w:val="both"/>
      </w:pPr>
      <w:r>
        <w:t>Başbakanlığın 31.12.2004 tarih ve B.</w:t>
      </w:r>
      <w:proofErr w:type="gramStart"/>
      <w:r>
        <w:t>02.0</w:t>
      </w:r>
      <w:proofErr w:type="gramEnd"/>
      <w:r>
        <w:t xml:space="preserve">.GİB/096-01/02841 sayılı yazısıyla </w:t>
      </w:r>
      <w:proofErr w:type="spellStart"/>
      <w:r>
        <w:t>KDRP’ye</w:t>
      </w:r>
      <w:proofErr w:type="spellEnd"/>
      <w:r>
        <w:t xml:space="preserve"> ilişkin olarak “ilgili Bakanlık, Kurum ve Kuruluş temsilcilerinin katılımı ile bir </w:t>
      </w:r>
      <w:r>
        <w:lastRenderedPageBreak/>
        <w:t>komisyon oluşturulması; Projenin uygulanabilmesi için gerekli kıstaslar, ilkeler ve başvuru şartları gibi konuları içeren temel bir politika belgesinin belirlenmesi hususlarında” Bakanlığımız görevlendirilmiştir.</w:t>
      </w:r>
    </w:p>
    <w:p w:rsidR="00B260C1" w:rsidRDefault="00B260C1" w:rsidP="00B260C1">
      <w:pPr>
        <w:jc w:val="both"/>
      </w:pPr>
    </w:p>
    <w:p w:rsidR="00B260C1" w:rsidRDefault="00B260C1" w:rsidP="00B260C1">
      <w:pPr>
        <w:ind w:firstLine="708"/>
        <w:jc w:val="both"/>
      </w:pPr>
      <w:proofErr w:type="gramStart"/>
      <w:r>
        <w:t>Bakanlığımızca  yapılacak</w:t>
      </w:r>
      <w:proofErr w:type="gramEnd"/>
      <w:r>
        <w:t xml:space="preserve"> çalışmalara esas olmak üzere, yukarıda bahsedilen konular göz önünde bulundurularak, KDRP konusunda ilinize ait en son sayısal veriler, uygulamada karşılaşılan sorunlar ve çözüm önerilerinizi de içeren kapsamlı bir çalışmanın yapılarak önümüzdeki günlerde Bakanlığımızda gerçekleştirilecek olan İl Valileri toplantısına hazırlıklı gelinmesi hususunda gereğini rica ederim.</w:t>
      </w:r>
    </w:p>
    <w:p w:rsidR="00B260C1" w:rsidRDefault="00B260C1" w:rsidP="00B260C1">
      <w:pPr>
        <w:jc w:val="both"/>
      </w:pPr>
    </w:p>
    <w:p w:rsidR="00B260C1" w:rsidRDefault="00B260C1" w:rsidP="00B260C1">
      <w:pPr>
        <w:jc w:val="both"/>
      </w:pPr>
    </w:p>
    <w:p w:rsidR="00B260C1" w:rsidRDefault="00B260C1" w:rsidP="00B260C1">
      <w:pPr>
        <w:jc w:val="both"/>
      </w:pPr>
    </w:p>
    <w:p w:rsidR="00B260C1" w:rsidRDefault="00B260C1" w:rsidP="00B260C1">
      <w:pPr>
        <w:jc w:val="both"/>
      </w:pPr>
    </w:p>
    <w:p w:rsidR="00B260C1" w:rsidRDefault="00B260C1" w:rsidP="00B260C1">
      <w:pPr>
        <w:jc w:val="both"/>
      </w:pPr>
    </w:p>
    <w:p w:rsidR="00B260C1" w:rsidRDefault="00B260C1" w:rsidP="00B260C1">
      <w:pPr>
        <w:pStyle w:val="Altbilgi"/>
        <w:ind w:left="5761" w:firstLine="720"/>
        <w:jc w:val="center"/>
        <w:rPr>
          <w:sz w:val="24"/>
          <w:lang w:val="tr-TR"/>
        </w:rPr>
      </w:pPr>
      <w:r>
        <w:rPr>
          <w:sz w:val="24"/>
          <w:lang w:val="tr-TR"/>
        </w:rPr>
        <w:t>Rasim BAŞ</w:t>
      </w:r>
    </w:p>
    <w:p w:rsidR="00B260C1" w:rsidRDefault="00B260C1" w:rsidP="00B260C1">
      <w:pPr>
        <w:pStyle w:val="Altbilgi"/>
        <w:ind w:left="5761" w:firstLine="720"/>
        <w:jc w:val="center"/>
        <w:rPr>
          <w:sz w:val="24"/>
          <w:lang w:val="tr-TR"/>
        </w:rPr>
      </w:pPr>
      <w:r>
        <w:rPr>
          <w:sz w:val="24"/>
          <w:lang w:val="tr-TR"/>
        </w:rPr>
        <w:t xml:space="preserve">Vali  </w:t>
      </w:r>
    </w:p>
    <w:p w:rsidR="00B260C1" w:rsidRDefault="00B260C1" w:rsidP="00B260C1">
      <w:pPr>
        <w:pStyle w:val="msobodytextfirstindent"/>
        <w:rPr>
          <w:b w:val="0"/>
        </w:rPr>
      </w:pPr>
      <w:r>
        <w:rPr>
          <w:b w:val="0"/>
        </w:rPr>
        <w:tab/>
      </w:r>
      <w:r>
        <w:rPr>
          <w:b w:val="0"/>
        </w:rPr>
        <w:tab/>
      </w:r>
      <w:r>
        <w:rPr>
          <w:b w:val="0"/>
        </w:rPr>
        <w:tab/>
      </w:r>
      <w:r>
        <w:rPr>
          <w:b w:val="0"/>
        </w:rPr>
        <w:tab/>
        <w:t xml:space="preserve">                      </w:t>
      </w:r>
      <w:r>
        <w:rPr>
          <w:b w:val="0"/>
        </w:rPr>
        <w:tab/>
      </w:r>
      <w:r>
        <w:rPr>
          <w:b w:val="0"/>
        </w:rPr>
        <w:tab/>
      </w:r>
      <w:r>
        <w:rPr>
          <w:b w:val="0"/>
        </w:rPr>
        <w:tab/>
        <w:t xml:space="preserve"> </w:t>
      </w:r>
      <w:r>
        <w:rPr>
          <w:b w:val="0"/>
        </w:rPr>
        <w:tab/>
        <w:t xml:space="preserve">    Bakan a.</w:t>
      </w:r>
    </w:p>
    <w:p w:rsidR="00B260C1" w:rsidRDefault="00B260C1" w:rsidP="00B260C1">
      <w:pPr>
        <w:pStyle w:val="msobodytextfirstindent"/>
        <w:rPr>
          <w:b w:val="0"/>
        </w:rPr>
      </w:pPr>
      <w:r>
        <w:rPr>
          <w:b w:val="0"/>
        </w:rPr>
        <w:tab/>
      </w:r>
      <w:r>
        <w:rPr>
          <w:b w:val="0"/>
        </w:rPr>
        <w:tab/>
      </w:r>
      <w:r>
        <w:rPr>
          <w:b w:val="0"/>
        </w:rPr>
        <w:tab/>
      </w:r>
      <w:r>
        <w:rPr>
          <w:b w:val="0"/>
        </w:rPr>
        <w:tab/>
      </w:r>
      <w:r>
        <w:rPr>
          <w:b w:val="0"/>
        </w:rPr>
        <w:tab/>
      </w:r>
      <w:r>
        <w:rPr>
          <w:b w:val="0"/>
        </w:rPr>
        <w:tab/>
      </w:r>
      <w:r>
        <w:rPr>
          <w:b w:val="0"/>
        </w:rPr>
        <w:tab/>
        <w:t xml:space="preserve">                           Müsteşar Vekili</w:t>
      </w:r>
    </w:p>
    <w:p w:rsidR="00B260C1" w:rsidRDefault="00B260C1" w:rsidP="00B260C1">
      <w:pPr>
        <w:pStyle w:val="Altbilgi"/>
        <w:rPr>
          <w:sz w:val="24"/>
          <w:lang w:val="tr-TR"/>
        </w:rPr>
      </w:pPr>
      <w:r>
        <w:rPr>
          <w:sz w:val="24"/>
          <w:lang w:val="tr-TR"/>
        </w:rPr>
        <w:t xml:space="preserve">                    </w:t>
      </w:r>
    </w:p>
    <w:p w:rsidR="00B260C1" w:rsidRDefault="00B260C1" w:rsidP="00B260C1">
      <w:pPr>
        <w:pStyle w:val="Altbilgi"/>
        <w:rPr>
          <w:sz w:val="24"/>
          <w:lang w:val="tr-TR"/>
        </w:rPr>
      </w:pPr>
    </w:p>
    <w:p w:rsidR="00B260C1" w:rsidRDefault="00B260C1" w:rsidP="00B260C1">
      <w:pPr>
        <w:pStyle w:val="Altbilgi"/>
        <w:rPr>
          <w:sz w:val="24"/>
          <w:lang w:val="tr-TR"/>
        </w:rPr>
      </w:pPr>
    </w:p>
    <w:p w:rsidR="00B260C1" w:rsidRDefault="00B260C1" w:rsidP="00B260C1">
      <w:pPr>
        <w:pStyle w:val="Altbilgi"/>
        <w:rPr>
          <w:sz w:val="24"/>
          <w:lang w:val="tr-TR"/>
        </w:rPr>
      </w:pPr>
    </w:p>
    <w:p w:rsidR="00B260C1" w:rsidRDefault="00B260C1" w:rsidP="00B260C1">
      <w:pPr>
        <w:pStyle w:val="Altbilgi"/>
        <w:rPr>
          <w:sz w:val="24"/>
          <w:lang w:val="tr-TR"/>
        </w:rPr>
      </w:pPr>
      <w:r>
        <w:rPr>
          <w:sz w:val="24"/>
          <w:lang w:val="tr-TR"/>
        </w:rPr>
        <w:t xml:space="preserve">                    </w:t>
      </w:r>
    </w:p>
    <w:p w:rsidR="00B260C1" w:rsidRDefault="00B260C1" w:rsidP="00B260C1">
      <w:pPr>
        <w:pStyle w:val="Altbilgi"/>
        <w:rPr>
          <w:sz w:val="24"/>
          <w:u w:val="single"/>
          <w:lang w:val="tr-TR"/>
        </w:rPr>
      </w:pPr>
      <w:r>
        <w:rPr>
          <w:sz w:val="24"/>
          <w:u w:val="single"/>
          <w:lang w:val="tr-TR"/>
        </w:rPr>
        <w:t>DAĞITIM</w:t>
      </w:r>
      <w:r>
        <w:rPr>
          <w:sz w:val="24"/>
          <w:u w:val="single"/>
          <w:lang w:val="tr-TR"/>
        </w:rPr>
        <w:tab/>
      </w:r>
      <w:r>
        <w:rPr>
          <w:sz w:val="24"/>
          <w:u w:val="single"/>
          <w:lang w:val="tr-TR"/>
        </w:rPr>
        <w:tab/>
      </w:r>
      <w:r>
        <w:rPr>
          <w:sz w:val="24"/>
          <w:u w:val="single"/>
          <w:lang w:val="tr-TR"/>
        </w:rPr>
        <w:tab/>
        <w:t>:</w:t>
      </w:r>
    </w:p>
    <w:p w:rsidR="00B260C1" w:rsidRDefault="00B260C1" w:rsidP="00B260C1">
      <w:pPr>
        <w:pStyle w:val="Altbilgi"/>
        <w:rPr>
          <w:sz w:val="24"/>
          <w:lang w:val="tr-TR"/>
        </w:rPr>
      </w:pPr>
      <w:r>
        <w:rPr>
          <w:sz w:val="24"/>
          <w:lang w:val="tr-TR"/>
        </w:rPr>
        <w:t xml:space="preserve">-Bingöl, Bitlis, </w:t>
      </w:r>
      <w:proofErr w:type="gramStart"/>
      <w:r>
        <w:rPr>
          <w:sz w:val="24"/>
          <w:lang w:val="tr-TR"/>
        </w:rPr>
        <w:t>Hakkari</w:t>
      </w:r>
      <w:proofErr w:type="gramEnd"/>
      <w:r>
        <w:rPr>
          <w:sz w:val="24"/>
          <w:lang w:val="tr-TR"/>
        </w:rPr>
        <w:t>,  Muş,</w:t>
      </w:r>
    </w:p>
    <w:p w:rsidR="00B260C1" w:rsidRDefault="00B260C1" w:rsidP="00B260C1">
      <w:pPr>
        <w:pStyle w:val="Altbilgi"/>
        <w:rPr>
          <w:sz w:val="24"/>
          <w:lang w:val="tr-TR"/>
        </w:rPr>
      </w:pPr>
      <w:r>
        <w:rPr>
          <w:sz w:val="24"/>
          <w:lang w:val="tr-TR"/>
        </w:rPr>
        <w:t xml:space="preserve">  Tunceli, Van, Elazığ, Batman, </w:t>
      </w:r>
    </w:p>
    <w:p w:rsidR="00B260C1" w:rsidRDefault="00B260C1" w:rsidP="00B260C1">
      <w:pPr>
        <w:pStyle w:val="Altbilgi"/>
        <w:rPr>
          <w:sz w:val="24"/>
          <w:lang w:val="tr-TR"/>
        </w:rPr>
      </w:pPr>
      <w:r>
        <w:rPr>
          <w:sz w:val="24"/>
          <w:lang w:val="tr-TR"/>
        </w:rPr>
        <w:t xml:space="preserve">  Diyarbakır, Mardin, Siirt,</w:t>
      </w:r>
    </w:p>
    <w:p w:rsidR="00B260C1" w:rsidRDefault="00B260C1" w:rsidP="00B260C1">
      <w:pPr>
        <w:pStyle w:val="Altbilgi"/>
        <w:rPr>
          <w:sz w:val="24"/>
          <w:lang w:val="tr-TR"/>
        </w:rPr>
      </w:pPr>
      <w:r>
        <w:rPr>
          <w:sz w:val="24"/>
          <w:lang w:val="tr-TR"/>
        </w:rPr>
        <w:t xml:space="preserve">  Şırnak, Adıyaman ve Ağrı Valiliklerine </w:t>
      </w:r>
    </w:p>
    <w:p w:rsidR="00B260C1" w:rsidRDefault="00B260C1" w:rsidP="00B260C1">
      <w:pPr>
        <w:pStyle w:val="Altbilgi"/>
        <w:rPr>
          <w:sz w:val="24"/>
          <w:lang w:val="tr-TR"/>
        </w:rPr>
      </w:pPr>
    </w:p>
    <w:p w:rsidR="00B260C1" w:rsidRDefault="00B260C1" w:rsidP="00B260C1">
      <w:pPr>
        <w:pStyle w:val="Altbilgi"/>
        <w:rPr>
          <w:sz w:val="24"/>
          <w:lang w:val="tr-TR"/>
        </w:rPr>
      </w:pPr>
    </w:p>
    <w:p w:rsidR="00B260C1" w:rsidRDefault="00B260C1" w:rsidP="00B260C1">
      <w:pPr>
        <w:pStyle w:val="Altbilgi"/>
        <w:rPr>
          <w:sz w:val="24"/>
          <w:lang w:val="tr-TR"/>
        </w:rPr>
      </w:pPr>
    </w:p>
    <w:p w:rsidR="00B260C1" w:rsidRDefault="00B260C1" w:rsidP="00B260C1">
      <w:pPr>
        <w:pStyle w:val="Altbilgi"/>
        <w:rPr>
          <w:sz w:val="24"/>
          <w:lang w:val="tr-TR"/>
        </w:rPr>
      </w:pPr>
    </w:p>
    <w:p w:rsidR="00B260C1" w:rsidRDefault="00B260C1" w:rsidP="00B260C1">
      <w:pPr>
        <w:pStyle w:val="Altbilgi"/>
        <w:rPr>
          <w:sz w:val="24"/>
          <w:lang w:val="tr-TR"/>
        </w:rPr>
      </w:pPr>
    </w:p>
    <w:p w:rsidR="00B260C1" w:rsidRDefault="00B260C1" w:rsidP="00B260C1">
      <w:pPr>
        <w:pStyle w:val="Altbilgi"/>
        <w:rPr>
          <w:sz w:val="24"/>
          <w:lang w:val="tr-TR"/>
        </w:rPr>
      </w:pPr>
    </w:p>
    <w:p w:rsidR="00B260C1" w:rsidRDefault="00B260C1" w:rsidP="00B260C1">
      <w:pPr>
        <w:pStyle w:val="Altbilgi"/>
        <w:rPr>
          <w:sz w:val="24"/>
          <w:lang w:val="tr-TR"/>
        </w:rPr>
      </w:pPr>
    </w:p>
    <w:p w:rsidR="00B260C1" w:rsidRDefault="00B260C1" w:rsidP="00B260C1">
      <w:pPr>
        <w:pStyle w:val="Altbilgi"/>
        <w:rPr>
          <w:sz w:val="24"/>
          <w:lang w:val="tr-TR"/>
        </w:rPr>
      </w:pPr>
    </w:p>
    <w:p w:rsidR="00B260C1" w:rsidRDefault="00B260C1" w:rsidP="00B260C1">
      <w:pPr>
        <w:pStyle w:val="Altbilgi"/>
        <w:rPr>
          <w:sz w:val="24"/>
          <w:lang w:val="tr-TR"/>
        </w:rPr>
      </w:pPr>
    </w:p>
    <w:p w:rsidR="00B260C1" w:rsidRDefault="00B260C1" w:rsidP="00B260C1">
      <w:pPr>
        <w:pStyle w:val="Altbilgi"/>
        <w:rPr>
          <w:sz w:val="24"/>
          <w:lang w:val="tr-TR"/>
        </w:rPr>
      </w:pPr>
    </w:p>
    <w:p w:rsidR="00B260C1" w:rsidRDefault="00B260C1" w:rsidP="00B260C1">
      <w:pPr>
        <w:pStyle w:val="Altbilgi"/>
        <w:rPr>
          <w:sz w:val="24"/>
          <w:lang w:val="tr-TR"/>
        </w:rPr>
      </w:pPr>
    </w:p>
    <w:p w:rsidR="00B260C1" w:rsidRDefault="00B260C1" w:rsidP="00B260C1">
      <w:pPr>
        <w:pStyle w:val="Altbilgi"/>
        <w:rPr>
          <w:sz w:val="24"/>
          <w:lang w:val="tr-TR"/>
        </w:rPr>
      </w:pPr>
    </w:p>
    <w:p w:rsidR="00B260C1" w:rsidRDefault="00B260C1" w:rsidP="00B260C1">
      <w:pPr>
        <w:pStyle w:val="Altbilgi"/>
        <w:rPr>
          <w:sz w:val="24"/>
          <w:lang w:val="tr-TR"/>
        </w:rPr>
      </w:pPr>
    </w:p>
    <w:tbl>
      <w:tblPr>
        <w:tblW w:w="0" w:type="auto"/>
        <w:tblInd w:w="413" w:type="dxa"/>
        <w:tblLayout w:type="fixed"/>
        <w:tblCellMar>
          <w:left w:w="70" w:type="dxa"/>
          <w:right w:w="70" w:type="dxa"/>
        </w:tblCellMar>
        <w:tblLook w:val="04A0" w:firstRow="1" w:lastRow="0" w:firstColumn="1" w:lastColumn="0" w:noHBand="0" w:noVBand="1"/>
      </w:tblPr>
      <w:tblGrid>
        <w:gridCol w:w="1134"/>
        <w:gridCol w:w="1386"/>
        <w:gridCol w:w="174"/>
        <w:gridCol w:w="1446"/>
      </w:tblGrid>
      <w:tr w:rsidR="00B260C1" w:rsidTr="00B260C1">
        <w:trPr>
          <w:trHeight w:val="334"/>
        </w:trPr>
        <w:tc>
          <w:tcPr>
            <w:tcW w:w="1134" w:type="dxa"/>
          </w:tcPr>
          <w:p w:rsidR="00B260C1" w:rsidRDefault="00B260C1">
            <w:pPr>
              <w:jc w:val="both"/>
              <w:rPr>
                <w:color w:val="000000"/>
              </w:rPr>
            </w:pPr>
          </w:p>
          <w:p w:rsidR="00B260C1" w:rsidRDefault="00B260C1">
            <w:pPr>
              <w:jc w:val="both"/>
              <w:rPr>
                <w:color w:val="000000"/>
              </w:rPr>
            </w:pPr>
          </w:p>
          <w:p w:rsidR="00B260C1" w:rsidRDefault="00B260C1">
            <w:pPr>
              <w:jc w:val="both"/>
              <w:rPr>
                <w:color w:val="000000"/>
              </w:rPr>
            </w:pPr>
          </w:p>
          <w:p w:rsidR="00B260C1" w:rsidRDefault="00B260C1">
            <w:pPr>
              <w:jc w:val="both"/>
              <w:rPr>
                <w:color w:val="000000"/>
              </w:rPr>
            </w:pPr>
          </w:p>
          <w:p w:rsidR="00B260C1" w:rsidRDefault="00B260C1">
            <w:pPr>
              <w:jc w:val="both"/>
              <w:rPr>
                <w:color w:val="000000"/>
              </w:rPr>
            </w:pPr>
          </w:p>
          <w:p w:rsidR="00B260C1" w:rsidRDefault="00B260C1">
            <w:pPr>
              <w:jc w:val="both"/>
              <w:rPr>
                <w:color w:val="000000"/>
              </w:rPr>
            </w:pPr>
          </w:p>
          <w:p w:rsidR="00B260C1" w:rsidRDefault="00B260C1">
            <w:pPr>
              <w:jc w:val="both"/>
              <w:rPr>
                <w:color w:val="000000"/>
              </w:rPr>
            </w:pPr>
          </w:p>
          <w:p w:rsidR="00B260C1" w:rsidRDefault="00B260C1">
            <w:pPr>
              <w:jc w:val="both"/>
              <w:rPr>
                <w:color w:val="000000"/>
              </w:rPr>
            </w:pPr>
          </w:p>
          <w:p w:rsidR="00B260C1" w:rsidRDefault="00B260C1">
            <w:pPr>
              <w:jc w:val="both"/>
              <w:rPr>
                <w:color w:val="000000"/>
              </w:rPr>
            </w:pPr>
          </w:p>
          <w:p w:rsidR="00B260C1" w:rsidRDefault="00B260C1">
            <w:pPr>
              <w:jc w:val="both"/>
              <w:rPr>
                <w:color w:val="000000"/>
              </w:rPr>
            </w:pPr>
          </w:p>
        </w:tc>
        <w:tc>
          <w:tcPr>
            <w:tcW w:w="1386" w:type="dxa"/>
          </w:tcPr>
          <w:p w:rsidR="00B260C1" w:rsidRDefault="00B260C1">
            <w:pPr>
              <w:jc w:val="both"/>
              <w:rPr>
                <w:color w:val="000000"/>
              </w:rPr>
            </w:pPr>
          </w:p>
        </w:tc>
        <w:tc>
          <w:tcPr>
            <w:tcW w:w="174" w:type="dxa"/>
          </w:tcPr>
          <w:p w:rsidR="00B260C1" w:rsidRDefault="00B260C1">
            <w:pPr>
              <w:jc w:val="both"/>
              <w:rPr>
                <w:color w:val="000000"/>
              </w:rPr>
            </w:pPr>
          </w:p>
        </w:tc>
        <w:tc>
          <w:tcPr>
            <w:tcW w:w="1446" w:type="dxa"/>
          </w:tcPr>
          <w:p w:rsidR="00B260C1" w:rsidRDefault="00B260C1">
            <w:pPr>
              <w:jc w:val="both"/>
              <w:rPr>
                <w:color w:val="000000"/>
              </w:rPr>
            </w:pPr>
          </w:p>
        </w:tc>
      </w:tr>
    </w:tbl>
    <w:p w:rsidR="00B260C1" w:rsidRPr="000F5C64" w:rsidRDefault="00B260C1" w:rsidP="00B260C1">
      <w:pPr>
        <w:pStyle w:val="GvdeMetni"/>
        <w:jc w:val="center"/>
      </w:pPr>
      <w:r w:rsidRPr="000F5C64">
        <w:lastRenderedPageBreak/>
        <w:t>T.C.</w:t>
      </w:r>
    </w:p>
    <w:p w:rsidR="00B260C1" w:rsidRPr="000F5C64" w:rsidRDefault="00B260C1" w:rsidP="00B260C1">
      <w:pPr>
        <w:jc w:val="center"/>
      </w:pPr>
      <w:r w:rsidRPr="000F5C64">
        <w:t>İÇİŞLERİ BAKANLIĞI</w:t>
      </w:r>
    </w:p>
    <w:p w:rsidR="00B260C1" w:rsidRPr="000F5C64" w:rsidRDefault="00B260C1" w:rsidP="00B260C1">
      <w:pPr>
        <w:jc w:val="center"/>
      </w:pPr>
      <w:r>
        <w:t>Araştırma, Planlama ve Koordinasyon Kurulu Başkanlığı</w:t>
      </w:r>
    </w:p>
    <w:p w:rsidR="00B260C1" w:rsidRPr="000F5C64" w:rsidRDefault="00B260C1" w:rsidP="00B260C1">
      <w:pPr>
        <w:jc w:val="center"/>
      </w:pPr>
    </w:p>
    <w:p w:rsidR="00B260C1" w:rsidRPr="000F5C64" w:rsidRDefault="00B260C1" w:rsidP="00B260C1">
      <w:pPr>
        <w:jc w:val="both"/>
      </w:pPr>
      <w:r w:rsidRPr="000F5C64">
        <w:t>Sayı</w:t>
      </w:r>
      <w:r w:rsidRPr="000F5C64">
        <w:tab/>
        <w:t>: B050APK0010002.</w:t>
      </w:r>
      <w:proofErr w:type="gramStart"/>
      <w:r w:rsidRPr="000F5C64">
        <w:t>5.4</w:t>
      </w:r>
      <w:proofErr w:type="gramEnd"/>
      <w:r w:rsidRPr="000F5C64">
        <w:t>-</w:t>
      </w:r>
      <w:r>
        <w:t>1</w:t>
      </w:r>
      <w:r w:rsidRPr="000F5C64">
        <w:t>/</w:t>
      </w:r>
      <w:r>
        <w:t xml:space="preserve">               </w:t>
      </w:r>
      <w:r>
        <w:tab/>
      </w:r>
      <w:r>
        <w:tab/>
      </w:r>
      <w:r>
        <w:tab/>
        <w:t xml:space="preserve">  </w:t>
      </w:r>
      <w:r>
        <w:tab/>
      </w:r>
      <w:r>
        <w:tab/>
        <w:t xml:space="preserve">          01</w:t>
      </w:r>
      <w:r w:rsidRPr="000F5C64">
        <w:t>/</w:t>
      </w:r>
      <w:r>
        <w:t>07</w:t>
      </w:r>
      <w:r w:rsidRPr="000F5C64">
        <w:t>/2005</w:t>
      </w:r>
    </w:p>
    <w:p w:rsidR="00B260C1" w:rsidRPr="000F5C64" w:rsidRDefault="00B260C1" w:rsidP="00B260C1">
      <w:pPr>
        <w:jc w:val="both"/>
      </w:pPr>
      <w:r w:rsidRPr="000F5C64">
        <w:t>Konu</w:t>
      </w:r>
      <w:r w:rsidRPr="000F5C64">
        <w:tab/>
        <w:t xml:space="preserve">: KDRP </w:t>
      </w:r>
    </w:p>
    <w:p w:rsidR="00B260C1" w:rsidRPr="000F5C64" w:rsidRDefault="00B260C1" w:rsidP="00B260C1">
      <w:pPr>
        <w:jc w:val="both"/>
      </w:pPr>
    </w:p>
    <w:p w:rsidR="00B260C1" w:rsidRPr="000F5C64" w:rsidRDefault="00B260C1" w:rsidP="00B260C1">
      <w:pPr>
        <w:jc w:val="center"/>
      </w:pPr>
    </w:p>
    <w:p w:rsidR="00B260C1" w:rsidRPr="000F5C64" w:rsidRDefault="00B260C1" w:rsidP="00B260C1">
      <w:pPr>
        <w:jc w:val="center"/>
      </w:pPr>
      <w:r w:rsidRPr="000F5C64">
        <w:t>Genelge</w:t>
      </w:r>
    </w:p>
    <w:p w:rsidR="00B260C1" w:rsidRPr="000F5C64" w:rsidRDefault="00B260C1" w:rsidP="00B260C1">
      <w:pPr>
        <w:jc w:val="center"/>
      </w:pPr>
      <w:r w:rsidRPr="000F5C64">
        <w:t>2005/</w:t>
      </w:r>
      <w:r>
        <w:t>68</w:t>
      </w:r>
    </w:p>
    <w:p w:rsidR="00B260C1" w:rsidRDefault="00B260C1" w:rsidP="00B260C1">
      <w:pPr>
        <w:ind w:firstLine="709"/>
        <w:jc w:val="center"/>
        <w:rPr>
          <w:b/>
          <w:sz w:val="28"/>
          <w:szCs w:val="28"/>
        </w:rPr>
      </w:pPr>
    </w:p>
    <w:p w:rsidR="00B260C1" w:rsidRDefault="00B260C1" w:rsidP="00B260C1">
      <w:pPr>
        <w:ind w:firstLine="709"/>
        <w:jc w:val="center"/>
        <w:rPr>
          <w:b/>
          <w:sz w:val="28"/>
          <w:szCs w:val="28"/>
        </w:rPr>
      </w:pPr>
    </w:p>
    <w:p w:rsidR="00B260C1" w:rsidRDefault="00B260C1" w:rsidP="00B260C1">
      <w:pPr>
        <w:ind w:firstLine="709"/>
        <w:jc w:val="center"/>
        <w:rPr>
          <w:b/>
          <w:sz w:val="28"/>
          <w:szCs w:val="28"/>
        </w:rPr>
      </w:pPr>
    </w:p>
    <w:p w:rsidR="00B260C1" w:rsidRDefault="00B260C1" w:rsidP="00B260C1">
      <w:pPr>
        <w:ind w:firstLine="709"/>
        <w:jc w:val="both"/>
      </w:pPr>
      <w:r>
        <w:t>Özellikle Doğu ve Güneydoğu Anadolu bölgelerimizde yaşanan ayrılıkçı ve bölücü terör olaylarının neden olduğu göç olgusu, Devletimizin en önemli sorunlarından biri haline gelmiştir. Bölücü terör örgütlerinin baskılarının can ve mal güvenliğine ciddi tehdit oluşturması sonucu çok sayıda vatandaşımız güvenlik gerekçesi ile gerek bölge içi ve gerekse bölge dışı kent merkezlerine göç etmek zorunda kalmışlardır. Yaşanan bu göç olayları “daha iyi sosyal ve ekonomik yaşam koşulları arama”, “geniş ölçekli kalkınma projeleri” , “doğal afet” gibi nedenlerle oluşan göç olgusuna eklenerek, göçün yarattığı sorunları daha da ağırlaştırmıştır.</w:t>
      </w:r>
    </w:p>
    <w:p w:rsidR="00B260C1" w:rsidRDefault="00B260C1" w:rsidP="00B260C1">
      <w:pPr>
        <w:ind w:firstLine="709"/>
        <w:jc w:val="both"/>
      </w:pPr>
    </w:p>
    <w:p w:rsidR="00B260C1" w:rsidRDefault="00B260C1" w:rsidP="00B260C1">
      <w:pPr>
        <w:ind w:firstLine="709"/>
        <w:jc w:val="both"/>
      </w:pPr>
      <w:proofErr w:type="gramStart"/>
      <w:r>
        <w:t>Yaşanan göç olaylarının ani ve düzensiz oluşu, göç edenlerin büyük çoğunluğunun kentlerin gece kondu mahallelerinde sağlıksız çevre koşullarında ve konutlarda yaşamaları, çoğunluğunun iş bulmak için gerekli eğitim ve vasıflara sahip olmamaları nedeniyle yeterli gelir olanaklarından yoksun oluşu kentlerin mevcut taşıma kapasitelerinin yetersiz kalmasına ve buralarda yeni sosyal sorunların ortaya çıkmasına neden olmuştur.</w:t>
      </w:r>
      <w:r w:rsidRPr="007262B4">
        <w:t xml:space="preserve"> </w:t>
      </w:r>
      <w:proofErr w:type="gramEnd"/>
      <w:r>
        <w:t>Ayrıca;</w:t>
      </w:r>
      <w:r w:rsidRPr="00162201">
        <w:t xml:space="preserve"> </w:t>
      </w:r>
      <w:r>
        <w:t xml:space="preserve">Doğu ve Güneydoğu Anadolu bölgelerimizde yaşanan göç olgusunun Avrupa Birliğine üyelik sürecinde İlerleme Raporlarına </w:t>
      </w:r>
      <w:proofErr w:type="gramStart"/>
      <w:r>
        <w:t>dahil</w:t>
      </w:r>
      <w:proofErr w:type="gramEnd"/>
      <w:r>
        <w:t xml:space="preserve"> edilmesi ve mağdur olan vatandaşlarımızın Avrupa İnsan Hakları Mahkemesinde (AİHM) devletimiz aleyhine davalar açmaları nedeniyle de konu uluslararası bir nitelik kazanmaya başlamıştır. </w:t>
      </w:r>
    </w:p>
    <w:p w:rsidR="00B260C1" w:rsidRDefault="00B260C1" w:rsidP="00B260C1">
      <w:pPr>
        <w:ind w:firstLine="709"/>
        <w:jc w:val="both"/>
      </w:pPr>
    </w:p>
    <w:p w:rsidR="00B260C1" w:rsidRDefault="00B260C1" w:rsidP="00B260C1">
      <w:pPr>
        <w:ind w:firstLine="709"/>
        <w:jc w:val="both"/>
      </w:pPr>
      <w:proofErr w:type="gramStart"/>
      <w:r w:rsidRPr="00554354">
        <w:t>Zorunlu Olarak Yerinden Olmuş Kişilerden gönüllü olarak geri dönmek isteyen vatandaşlarımızın eskiden yaşamış oldukları yerlere geri dönüşüne yardımcı olunması, geri dönülen yerlerde ekonomik yapının yeniden tesisi ve bu yerleşmelerde sürdürülebilir yaşam koşullarının sağlanması amacıyla</w:t>
      </w:r>
      <w:r>
        <w:t xml:space="preserve"> uygulanan Köye Dönüş ve Rehabilitasyon Projesi (KDRP) kapsamında, uygulanmaya başlandığı 1994 yılından günümüze kadar, ilgili valiliklerimiz tarafından çok şeylerin yapıldığı muhakkaktır. </w:t>
      </w:r>
      <w:proofErr w:type="gramEnd"/>
      <w:r>
        <w:t>Valiliklerimizden gelen bilgiler doğrultusunda Projenin uygulandığı 14 ilimizde,</w:t>
      </w:r>
      <w:r w:rsidRPr="00C556D2">
        <w:t xml:space="preserve"> </w:t>
      </w:r>
      <w:r>
        <w:t>Haziran 2005 tarihi itibariyle, güvenlik gerekçesiyle göç eden yaklaşık 360.000 vatandaşımızdan 125.539 kişinin geri dönüşlerinin sağlandığı anlaşılmaktadır.</w:t>
      </w:r>
    </w:p>
    <w:p w:rsidR="00B260C1" w:rsidRDefault="00B260C1" w:rsidP="00B260C1">
      <w:pPr>
        <w:ind w:firstLine="709"/>
        <w:jc w:val="both"/>
      </w:pPr>
    </w:p>
    <w:p w:rsidR="00B260C1" w:rsidRPr="00554354" w:rsidRDefault="00B260C1" w:rsidP="00B260C1">
      <w:pPr>
        <w:ind w:firstLine="709"/>
        <w:jc w:val="both"/>
      </w:pPr>
      <w:r>
        <w:t xml:space="preserve">KDRP uygulamaları ile ilgili olarak; </w:t>
      </w:r>
      <w:r w:rsidRPr="00EF6661">
        <w:rPr>
          <w:b/>
        </w:rPr>
        <w:t xml:space="preserve">Başbakanlığın </w:t>
      </w:r>
      <w:proofErr w:type="gramStart"/>
      <w:r w:rsidRPr="00EF6661">
        <w:rPr>
          <w:b/>
        </w:rPr>
        <w:t>27/01/1998</w:t>
      </w:r>
      <w:proofErr w:type="gramEnd"/>
      <w:r w:rsidRPr="00EF6661">
        <w:rPr>
          <w:b/>
        </w:rPr>
        <w:t xml:space="preserve"> tarih ve 0730-1/1998 MGBS (06B) sayılı Genelgesi</w:t>
      </w:r>
      <w:r w:rsidRPr="00554354">
        <w:t xml:space="preserve"> </w:t>
      </w:r>
      <w:r>
        <w:t xml:space="preserve">ve </w:t>
      </w:r>
      <w:r w:rsidRPr="00EF6661">
        <w:rPr>
          <w:b/>
        </w:rPr>
        <w:t xml:space="preserve">İçişleri Bakanlığının 15/05/2000 tarih ve 1014 sayılı yazısı </w:t>
      </w:r>
      <w:r w:rsidRPr="00554354">
        <w:t>çerçevesinde</w:t>
      </w:r>
      <w:r>
        <w:t xml:space="preserve">, </w:t>
      </w:r>
      <w:r w:rsidRPr="008B42BC">
        <w:t>Valiliklerimiz tarafından</w:t>
      </w:r>
      <w:r>
        <w:t xml:space="preserve">, </w:t>
      </w:r>
      <w:r w:rsidRPr="00554354">
        <w:t>can ve mal güvenliğinin temin edildiği yerlere geri dönüşler</w:t>
      </w:r>
      <w:r>
        <w:t>in kolaylaştırılması</w:t>
      </w:r>
      <w:r w:rsidRPr="00554354">
        <w:t xml:space="preserve"> için gerekli tedbirleri</w:t>
      </w:r>
      <w:r>
        <w:t>n</w:t>
      </w:r>
      <w:r w:rsidRPr="00554354">
        <w:t xml:space="preserve"> </w:t>
      </w:r>
      <w:r>
        <w:t>alınmasına devam edilecektir.</w:t>
      </w:r>
    </w:p>
    <w:p w:rsidR="00B260C1" w:rsidRDefault="00B260C1" w:rsidP="00B260C1">
      <w:pPr>
        <w:ind w:firstLine="709"/>
        <w:jc w:val="both"/>
      </w:pPr>
    </w:p>
    <w:p w:rsidR="00B260C1" w:rsidRDefault="00B260C1" w:rsidP="00B260C1">
      <w:pPr>
        <w:ind w:firstLine="709"/>
        <w:jc w:val="both"/>
      </w:pPr>
      <w:r>
        <w:lastRenderedPageBreak/>
        <w:t xml:space="preserve">Bununla birlikte, çağdaş ülkelerde olduğu gibi ülkemizde de gelişen yeni yönetim anlayışına paralel olarak Hükümetimizin üzerinde hassasiyetle durduğu “iyi yönetişim”, “katılımcılık”, “açıklık ve şeffaflık” ilkeleri doğrultusunda </w:t>
      </w:r>
      <w:r w:rsidRPr="00C808EF">
        <w:t>KDRP uygulamalarında gerekli katılımcılık ve şeffaflığın sağlanması için;</w:t>
      </w:r>
    </w:p>
    <w:p w:rsidR="00B260C1" w:rsidRPr="00C808EF" w:rsidRDefault="00B260C1" w:rsidP="00B260C1">
      <w:pPr>
        <w:ind w:firstLine="709"/>
        <w:jc w:val="both"/>
      </w:pPr>
    </w:p>
    <w:p w:rsidR="00B260C1" w:rsidRDefault="00B260C1" w:rsidP="00B260C1">
      <w:pPr>
        <w:numPr>
          <w:ilvl w:val="1"/>
          <w:numId w:val="6"/>
        </w:numPr>
        <w:ind w:hanging="357"/>
        <w:jc w:val="both"/>
      </w:pPr>
      <w:r w:rsidRPr="00C808EF">
        <w:t xml:space="preserve">Projenin uygulandığı illerde, yapılacak yardımların belirlenmesi maksadıyla gerçekleştirilecek toplantılara ilgili </w:t>
      </w:r>
      <w:r>
        <w:t>sivil toplum örgütleri (STÖ)</w:t>
      </w:r>
      <w:r w:rsidRPr="00C808EF">
        <w:t xml:space="preserve"> temsilcilerinin katılımı sağlanacak,</w:t>
      </w:r>
    </w:p>
    <w:p w:rsidR="00B260C1" w:rsidRPr="00C808EF" w:rsidRDefault="00B260C1" w:rsidP="00B260C1">
      <w:pPr>
        <w:ind w:left="1083"/>
        <w:jc w:val="both"/>
      </w:pPr>
    </w:p>
    <w:p w:rsidR="00B260C1" w:rsidRDefault="00B260C1" w:rsidP="00B260C1">
      <w:pPr>
        <w:numPr>
          <w:ilvl w:val="1"/>
          <w:numId w:val="6"/>
        </w:numPr>
        <w:ind w:hanging="357"/>
        <w:jc w:val="both"/>
      </w:pPr>
      <w:r w:rsidRPr="00C808EF">
        <w:t>Sivil toplum kuruluşlarının proje uygulamalarına aktif destek ve katılımları özendirilecek,</w:t>
      </w:r>
    </w:p>
    <w:p w:rsidR="00B260C1" w:rsidRPr="00C808EF" w:rsidRDefault="00B260C1" w:rsidP="00B260C1">
      <w:pPr>
        <w:ind w:left="1083"/>
        <w:jc w:val="both"/>
      </w:pPr>
    </w:p>
    <w:p w:rsidR="00B260C1" w:rsidRDefault="00B260C1" w:rsidP="00B260C1">
      <w:pPr>
        <w:numPr>
          <w:ilvl w:val="1"/>
          <w:numId w:val="6"/>
        </w:numPr>
        <w:ind w:hanging="357"/>
        <w:jc w:val="both"/>
      </w:pPr>
      <w:r w:rsidRPr="00C808EF">
        <w:t>Ekonomik ve sosyal kalkınma ile ilgili olarak KDRP kapsamında eğitim, sağlık, tarım ve istihdam konularına yönelik STÖ projeleri, yetkili makamların da uygun görmesi halinde devletçe desteklenecek,</w:t>
      </w:r>
    </w:p>
    <w:p w:rsidR="00B260C1" w:rsidRPr="00C808EF" w:rsidRDefault="00B260C1" w:rsidP="00B260C1">
      <w:pPr>
        <w:ind w:left="1083"/>
        <w:jc w:val="both"/>
      </w:pPr>
    </w:p>
    <w:p w:rsidR="00B260C1" w:rsidRDefault="00B260C1" w:rsidP="00B260C1">
      <w:pPr>
        <w:numPr>
          <w:ilvl w:val="1"/>
          <w:numId w:val="6"/>
        </w:numPr>
        <w:ind w:hanging="357"/>
        <w:jc w:val="both"/>
      </w:pPr>
      <w:r w:rsidRPr="00C808EF">
        <w:t>KDRP uygulamalarında açıklık ve saydamlık ilkeleri esas alınacak, karşılaşılan sorunların çözümüne yönelik kullanılacak araçlar ve mekanizmalar kamuoyuna açıkça duyurularak halkın aydınlatılması sağlanacaktır.</w:t>
      </w:r>
    </w:p>
    <w:p w:rsidR="00B260C1" w:rsidRDefault="00B260C1" w:rsidP="00B260C1">
      <w:pPr>
        <w:spacing w:line="360" w:lineRule="auto"/>
        <w:jc w:val="both"/>
      </w:pPr>
    </w:p>
    <w:p w:rsidR="00B260C1" w:rsidRDefault="00B260C1" w:rsidP="00B260C1">
      <w:pPr>
        <w:spacing w:line="360" w:lineRule="auto"/>
        <w:ind w:firstLine="709"/>
        <w:jc w:val="both"/>
      </w:pPr>
      <w:r>
        <w:t>Bilgi ve gereğini arz ve rica ederim.</w:t>
      </w:r>
    </w:p>
    <w:p w:rsidR="00B260C1" w:rsidRDefault="00B260C1" w:rsidP="00B260C1">
      <w:pPr>
        <w:spacing w:line="360" w:lineRule="auto"/>
        <w:ind w:firstLine="709"/>
        <w:jc w:val="both"/>
      </w:pPr>
    </w:p>
    <w:p w:rsidR="00B260C1" w:rsidRDefault="00B260C1" w:rsidP="00B260C1">
      <w:pPr>
        <w:spacing w:line="360" w:lineRule="auto"/>
        <w:ind w:firstLine="709"/>
        <w:jc w:val="both"/>
      </w:pPr>
    </w:p>
    <w:p w:rsidR="00B260C1" w:rsidRDefault="00B260C1" w:rsidP="00B260C1">
      <w:pPr>
        <w:spacing w:line="360" w:lineRule="auto"/>
        <w:ind w:firstLine="709"/>
        <w:jc w:val="both"/>
      </w:pPr>
    </w:p>
    <w:p w:rsidR="00B260C1" w:rsidRDefault="00B260C1" w:rsidP="00B260C1">
      <w:pPr>
        <w:ind w:left="4956" w:firstLine="708"/>
        <w:jc w:val="center"/>
        <w:rPr>
          <w:sz w:val="22"/>
          <w:szCs w:val="22"/>
        </w:rPr>
      </w:pPr>
      <w:r>
        <w:rPr>
          <w:sz w:val="22"/>
          <w:szCs w:val="22"/>
        </w:rPr>
        <w:t>Abdülkadir AKSU</w:t>
      </w:r>
    </w:p>
    <w:p w:rsidR="00B260C1" w:rsidRPr="00C50E4B" w:rsidRDefault="00B260C1" w:rsidP="00B260C1">
      <w:pPr>
        <w:ind w:left="4956" w:firstLine="708"/>
        <w:jc w:val="center"/>
        <w:rPr>
          <w:sz w:val="22"/>
          <w:szCs w:val="22"/>
        </w:rPr>
      </w:pPr>
      <w:r w:rsidRPr="00C50E4B">
        <w:rPr>
          <w:sz w:val="22"/>
          <w:szCs w:val="22"/>
        </w:rPr>
        <w:t>Bakan</w:t>
      </w:r>
    </w:p>
    <w:p w:rsidR="00B260C1" w:rsidRDefault="00B260C1" w:rsidP="00B260C1">
      <w:pPr>
        <w:pStyle w:val="GvdeMetni"/>
        <w:rPr>
          <w:szCs w:val="22"/>
          <w:u w:val="single"/>
        </w:rPr>
      </w:pPr>
    </w:p>
    <w:p w:rsidR="00B260C1" w:rsidRDefault="00B260C1" w:rsidP="00B260C1">
      <w:pPr>
        <w:pStyle w:val="GvdeMetni"/>
        <w:rPr>
          <w:szCs w:val="22"/>
          <w:u w:val="single"/>
        </w:rPr>
      </w:pPr>
    </w:p>
    <w:p w:rsidR="00B260C1" w:rsidRDefault="00B260C1" w:rsidP="00B260C1">
      <w:pPr>
        <w:pStyle w:val="GvdeMetni"/>
        <w:rPr>
          <w:szCs w:val="22"/>
          <w:u w:val="single"/>
        </w:rPr>
      </w:pPr>
    </w:p>
    <w:p w:rsidR="00B260C1" w:rsidRDefault="00B260C1" w:rsidP="00B260C1">
      <w:pPr>
        <w:pStyle w:val="GvdeMetni"/>
        <w:rPr>
          <w:szCs w:val="22"/>
          <w:u w:val="single"/>
        </w:rPr>
      </w:pPr>
    </w:p>
    <w:p w:rsidR="00B260C1" w:rsidRDefault="00B260C1" w:rsidP="00B260C1">
      <w:pPr>
        <w:pStyle w:val="GvdeMetni"/>
        <w:rPr>
          <w:szCs w:val="22"/>
          <w:u w:val="single"/>
        </w:rPr>
      </w:pPr>
    </w:p>
    <w:p w:rsidR="00B260C1" w:rsidRPr="000B7474" w:rsidRDefault="00B260C1" w:rsidP="00B260C1">
      <w:pPr>
        <w:pStyle w:val="GvdeMetni"/>
        <w:rPr>
          <w:szCs w:val="22"/>
          <w:u w:val="single"/>
        </w:rPr>
      </w:pPr>
      <w:r w:rsidRPr="000B7474">
        <w:rPr>
          <w:szCs w:val="22"/>
          <w:u w:val="single"/>
        </w:rPr>
        <w:t>DAĞITIM</w:t>
      </w:r>
      <w:r w:rsidRPr="000B7474">
        <w:rPr>
          <w:szCs w:val="22"/>
          <w:u w:val="single"/>
        </w:rPr>
        <w:tab/>
        <w:t>:</w:t>
      </w:r>
    </w:p>
    <w:p w:rsidR="00B260C1" w:rsidRDefault="00B260C1" w:rsidP="00B260C1">
      <w:pPr>
        <w:pStyle w:val="GvdeMetni"/>
        <w:rPr>
          <w:szCs w:val="22"/>
        </w:rPr>
      </w:pPr>
      <w:r w:rsidRPr="000B7474">
        <w:rPr>
          <w:szCs w:val="22"/>
          <w:u w:val="single"/>
        </w:rPr>
        <w:t>Gereği</w:t>
      </w:r>
      <w:r w:rsidRPr="000B7474">
        <w:rPr>
          <w:szCs w:val="22"/>
          <w:u w:val="single"/>
        </w:rPr>
        <w:tab/>
      </w:r>
      <w:r w:rsidRPr="000B7474">
        <w:rPr>
          <w:szCs w:val="22"/>
          <w:u w:val="single"/>
        </w:rPr>
        <w:tab/>
        <w:t>:</w:t>
      </w:r>
      <w:r>
        <w:rPr>
          <w:szCs w:val="22"/>
        </w:rPr>
        <w:tab/>
      </w:r>
      <w:r>
        <w:rPr>
          <w:szCs w:val="22"/>
        </w:rPr>
        <w:tab/>
      </w:r>
      <w:r>
        <w:rPr>
          <w:szCs w:val="22"/>
        </w:rPr>
        <w:tab/>
      </w:r>
      <w:r w:rsidRPr="000B7474">
        <w:rPr>
          <w:szCs w:val="22"/>
          <w:u w:val="single"/>
        </w:rPr>
        <w:t>Bilgi</w:t>
      </w:r>
      <w:r w:rsidRPr="000B7474">
        <w:rPr>
          <w:szCs w:val="22"/>
          <w:u w:val="single"/>
        </w:rPr>
        <w:tab/>
        <w:t>:</w:t>
      </w:r>
    </w:p>
    <w:p w:rsidR="00B260C1" w:rsidRDefault="00B260C1" w:rsidP="00B260C1">
      <w:pPr>
        <w:pStyle w:val="GvdeMetni"/>
        <w:rPr>
          <w:szCs w:val="22"/>
        </w:rPr>
      </w:pPr>
      <w:proofErr w:type="spellStart"/>
      <w:proofErr w:type="gramStart"/>
      <w:r>
        <w:rPr>
          <w:szCs w:val="22"/>
        </w:rPr>
        <w:t>Adıyaman,Ağrı</w:t>
      </w:r>
      <w:proofErr w:type="gramEnd"/>
      <w:r>
        <w:rPr>
          <w:szCs w:val="22"/>
        </w:rPr>
        <w:t>,Bingöl</w:t>
      </w:r>
      <w:proofErr w:type="spellEnd"/>
      <w:r>
        <w:rPr>
          <w:szCs w:val="22"/>
        </w:rPr>
        <w:tab/>
      </w:r>
      <w:r>
        <w:rPr>
          <w:szCs w:val="22"/>
        </w:rPr>
        <w:tab/>
      </w:r>
      <w:r>
        <w:rPr>
          <w:szCs w:val="22"/>
        </w:rPr>
        <w:tab/>
        <w:t>Başbakanlık</w:t>
      </w:r>
      <w:r>
        <w:rPr>
          <w:szCs w:val="22"/>
        </w:rPr>
        <w:tab/>
      </w:r>
      <w:r>
        <w:rPr>
          <w:szCs w:val="22"/>
        </w:rPr>
        <w:tab/>
      </w:r>
    </w:p>
    <w:p w:rsidR="00B260C1" w:rsidRDefault="00B260C1" w:rsidP="00B260C1">
      <w:pPr>
        <w:pStyle w:val="GvdeMetni"/>
        <w:rPr>
          <w:szCs w:val="22"/>
        </w:rPr>
      </w:pPr>
      <w:proofErr w:type="spellStart"/>
      <w:proofErr w:type="gramStart"/>
      <w:r>
        <w:rPr>
          <w:szCs w:val="22"/>
        </w:rPr>
        <w:t>Bitlis,Hakkari</w:t>
      </w:r>
      <w:proofErr w:type="gramEnd"/>
      <w:r>
        <w:rPr>
          <w:szCs w:val="22"/>
        </w:rPr>
        <w:t>,Muş,Tunceli</w:t>
      </w:r>
      <w:proofErr w:type="spellEnd"/>
      <w:r>
        <w:rPr>
          <w:szCs w:val="22"/>
        </w:rPr>
        <w:tab/>
      </w:r>
      <w:r>
        <w:rPr>
          <w:szCs w:val="22"/>
        </w:rPr>
        <w:tab/>
        <w:t>Dışişleri Bakanlığı</w:t>
      </w:r>
    </w:p>
    <w:p w:rsidR="00B260C1" w:rsidRDefault="00B260C1" w:rsidP="00B260C1">
      <w:pPr>
        <w:pStyle w:val="GvdeMetni"/>
        <w:rPr>
          <w:szCs w:val="22"/>
        </w:rPr>
      </w:pPr>
      <w:proofErr w:type="spellStart"/>
      <w:proofErr w:type="gramStart"/>
      <w:r>
        <w:rPr>
          <w:szCs w:val="22"/>
        </w:rPr>
        <w:t>Van,Elazığ</w:t>
      </w:r>
      <w:proofErr w:type="gramEnd"/>
      <w:r>
        <w:rPr>
          <w:szCs w:val="22"/>
        </w:rPr>
        <w:t>,Batman,Diyarbakır</w:t>
      </w:r>
      <w:proofErr w:type="spellEnd"/>
      <w:r>
        <w:rPr>
          <w:szCs w:val="22"/>
        </w:rPr>
        <w:tab/>
      </w:r>
      <w:r>
        <w:rPr>
          <w:szCs w:val="22"/>
        </w:rPr>
        <w:tab/>
        <w:t xml:space="preserve">(Uluslararası Siyasi Kuruluşlar Genel Müdür Yardımcılığı) </w:t>
      </w:r>
      <w:proofErr w:type="spellStart"/>
      <w:r>
        <w:rPr>
          <w:szCs w:val="22"/>
        </w:rPr>
        <w:t>Mardin,Siirt,Şırnak</w:t>
      </w:r>
      <w:proofErr w:type="spellEnd"/>
      <w:r>
        <w:rPr>
          <w:szCs w:val="22"/>
        </w:rPr>
        <w:t xml:space="preserve"> Valiliğine</w:t>
      </w:r>
      <w:r>
        <w:rPr>
          <w:szCs w:val="22"/>
        </w:rPr>
        <w:tab/>
      </w:r>
      <w:r>
        <w:rPr>
          <w:szCs w:val="22"/>
        </w:rPr>
        <w:tab/>
        <w:t>Merkez Birimlerine</w:t>
      </w:r>
    </w:p>
    <w:p w:rsidR="00B260C1" w:rsidRPr="00037D4C" w:rsidRDefault="00B260C1" w:rsidP="00B260C1">
      <w:pPr>
        <w:pStyle w:val="GvdeMetni"/>
        <w:rPr>
          <w:szCs w:val="22"/>
        </w:rPr>
      </w:pPr>
    </w:p>
    <w:p w:rsidR="00B260C1" w:rsidRDefault="00B260C1" w:rsidP="00B260C1">
      <w:pPr>
        <w:pStyle w:val="GvdeMetni"/>
        <w:jc w:val="center"/>
        <w:rPr>
          <w:szCs w:val="22"/>
        </w:rPr>
      </w:pPr>
    </w:p>
    <w:p w:rsidR="00B260C1" w:rsidRDefault="00B260C1" w:rsidP="00B260C1">
      <w:pPr>
        <w:pStyle w:val="GvdeMetni"/>
        <w:rPr>
          <w:szCs w:val="22"/>
        </w:rPr>
      </w:pPr>
    </w:p>
    <w:p w:rsidR="00B260C1" w:rsidRDefault="00B260C1" w:rsidP="00B260C1">
      <w:pPr>
        <w:pStyle w:val="GvdeMetni"/>
        <w:rPr>
          <w:szCs w:val="22"/>
        </w:rPr>
      </w:pPr>
    </w:p>
    <w:p w:rsidR="00B260C1" w:rsidRDefault="00B260C1" w:rsidP="00B260C1">
      <w:pPr>
        <w:tabs>
          <w:tab w:val="left" w:pos="5490"/>
        </w:tabs>
        <w:rPr>
          <w:color w:val="000000"/>
          <w:szCs w:val="22"/>
        </w:rPr>
      </w:pPr>
    </w:p>
    <w:p w:rsidR="00B260C1" w:rsidRPr="002E12CD" w:rsidRDefault="00B260C1" w:rsidP="00B260C1">
      <w:pPr>
        <w:pStyle w:val="WW-GvdeMetni2"/>
        <w:jc w:val="center"/>
        <w:rPr>
          <w:szCs w:val="24"/>
        </w:rPr>
      </w:pPr>
      <w:r w:rsidRPr="002E12CD">
        <w:rPr>
          <w:szCs w:val="24"/>
        </w:rPr>
        <w:lastRenderedPageBreak/>
        <w:t>T.C.</w:t>
      </w:r>
    </w:p>
    <w:p w:rsidR="00B260C1" w:rsidRPr="002E12CD" w:rsidRDefault="00B260C1" w:rsidP="00B260C1">
      <w:pPr>
        <w:pStyle w:val="WW-GvdeMetni2"/>
        <w:jc w:val="center"/>
        <w:rPr>
          <w:szCs w:val="24"/>
        </w:rPr>
      </w:pPr>
      <w:r w:rsidRPr="002E12CD">
        <w:rPr>
          <w:szCs w:val="24"/>
        </w:rPr>
        <w:t>İÇİŞLERİ BAKANLIĞI</w:t>
      </w:r>
    </w:p>
    <w:p w:rsidR="00B260C1" w:rsidRDefault="00B260C1" w:rsidP="00B260C1">
      <w:pPr>
        <w:pStyle w:val="stbilgi"/>
        <w:jc w:val="center"/>
        <w:rPr>
          <w:sz w:val="24"/>
          <w:szCs w:val="24"/>
        </w:rPr>
      </w:pPr>
      <w:r w:rsidRPr="002E12CD">
        <w:rPr>
          <w:sz w:val="24"/>
          <w:szCs w:val="24"/>
        </w:rPr>
        <w:t xml:space="preserve">Strateji </w:t>
      </w:r>
      <w:proofErr w:type="gramStart"/>
      <w:r w:rsidRPr="002E12CD">
        <w:rPr>
          <w:sz w:val="24"/>
          <w:szCs w:val="24"/>
        </w:rPr>
        <w:t>Geliştirme  Başkanlığı</w:t>
      </w:r>
      <w:proofErr w:type="gramEnd"/>
    </w:p>
    <w:p w:rsidR="00B260C1" w:rsidRDefault="00B260C1" w:rsidP="00B260C1"/>
    <w:p w:rsidR="00B260C1" w:rsidRDefault="00B260C1" w:rsidP="00B260C1">
      <w:pPr>
        <w:pStyle w:val="Altbilgi"/>
        <w:rPr>
          <w:color w:val="000000"/>
          <w:sz w:val="24"/>
          <w:lang w:val="tr-TR"/>
        </w:rPr>
      </w:pPr>
    </w:p>
    <w:p w:rsidR="00B260C1" w:rsidRDefault="00B260C1" w:rsidP="00B260C1">
      <w:r>
        <w:t>Sayı</w:t>
      </w:r>
      <w:r>
        <w:tab/>
        <w:t xml:space="preserve">: </w:t>
      </w:r>
      <w:r>
        <w:rPr>
          <w:bCs/>
        </w:rPr>
        <w:t>B050SGB0100003-010.06.01-</w:t>
      </w:r>
      <w:r>
        <w:tab/>
      </w:r>
      <w:r>
        <w:tab/>
      </w:r>
      <w:r>
        <w:tab/>
      </w:r>
      <w:r>
        <w:tab/>
        <w:t xml:space="preserve">                              /09/2006</w:t>
      </w:r>
    </w:p>
    <w:p w:rsidR="00B260C1" w:rsidRDefault="00B260C1" w:rsidP="00B260C1">
      <w:pPr>
        <w:pStyle w:val="Altbilgi"/>
        <w:rPr>
          <w:sz w:val="24"/>
          <w:lang w:val="tr-TR"/>
        </w:rPr>
      </w:pPr>
    </w:p>
    <w:p w:rsidR="00B260C1" w:rsidRDefault="00B260C1" w:rsidP="00B260C1">
      <w:pPr>
        <w:pStyle w:val="Altbilgi"/>
        <w:rPr>
          <w:sz w:val="24"/>
          <w:lang w:val="tr-TR"/>
        </w:rPr>
      </w:pPr>
      <w:r>
        <w:rPr>
          <w:sz w:val="24"/>
          <w:lang w:val="tr-TR"/>
        </w:rPr>
        <w:t>Konu</w:t>
      </w:r>
      <w:r>
        <w:rPr>
          <w:sz w:val="24"/>
          <w:lang w:val="tr-TR"/>
        </w:rPr>
        <w:tab/>
        <w:t>: İLEMOD</w:t>
      </w:r>
    </w:p>
    <w:p w:rsidR="00B260C1" w:rsidRDefault="00B260C1" w:rsidP="00B260C1">
      <w:pPr>
        <w:pStyle w:val="Altbilgi"/>
        <w:rPr>
          <w:sz w:val="24"/>
          <w:lang w:val="tr-TR"/>
        </w:rPr>
      </w:pPr>
    </w:p>
    <w:p w:rsidR="00B260C1" w:rsidRDefault="00B260C1" w:rsidP="00B260C1">
      <w:pPr>
        <w:pStyle w:val="Altbilgi"/>
        <w:jc w:val="center"/>
        <w:outlineLvl w:val="0"/>
        <w:rPr>
          <w:sz w:val="24"/>
          <w:lang w:val="tr-TR"/>
        </w:rPr>
      </w:pPr>
      <w:r>
        <w:rPr>
          <w:sz w:val="24"/>
          <w:lang w:val="tr-TR"/>
        </w:rPr>
        <w:t>GENELGE</w:t>
      </w:r>
    </w:p>
    <w:p w:rsidR="00B260C1" w:rsidRDefault="00B260C1" w:rsidP="00B260C1">
      <w:pPr>
        <w:pStyle w:val="Altbilgi"/>
        <w:jc w:val="center"/>
        <w:outlineLvl w:val="0"/>
        <w:rPr>
          <w:sz w:val="24"/>
          <w:lang w:val="tr-TR"/>
        </w:rPr>
      </w:pPr>
      <w:r>
        <w:rPr>
          <w:sz w:val="24"/>
          <w:lang w:val="tr-TR"/>
        </w:rPr>
        <w:t>2006-72</w:t>
      </w:r>
    </w:p>
    <w:p w:rsidR="00B260C1" w:rsidRDefault="00B260C1" w:rsidP="00B260C1">
      <w:pPr>
        <w:jc w:val="center"/>
      </w:pPr>
    </w:p>
    <w:p w:rsidR="00B260C1" w:rsidRDefault="00B260C1" w:rsidP="00B260C1">
      <w:pPr>
        <w:pStyle w:val="Altbilgi"/>
        <w:rPr>
          <w:sz w:val="24"/>
          <w:lang w:val="tr-TR"/>
        </w:rPr>
      </w:pPr>
    </w:p>
    <w:p w:rsidR="00B260C1" w:rsidRDefault="00B260C1" w:rsidP="00B260C1">
      <w:pPr>
        <w:pStyle w:val="Altbilgi"/>
        <w:ind w:firstLine="708"/>
        <w:jc w:val="both"/>
        <w:rPr>
          <w:sz w:val="24"/>
          <w:lang w:val="tr-TR"/>
        </w:rPr>
      </w:pPr>
      <w:r>
        <w:rPr>
          <w:sz w:val="24"/>
          <w:lang w:val="tr-TR"/>
        </w:rPr>
        <w:t xml:space="preserve">Bakanlığımız ile Harita Genel Komutanlığı arasında 23/05/2005 tarihinde yapılan işbirliği protokolü gereğince; Harita Genel Komutanlığınca yürütülen Askeri Coğrafya Amaçlı Veri Toplama Projesi kapsamında yer alan “İstihkam Kaynakları Belgesi” için ihtiyaç duyulan verilerin Bakanlığımızın İLEMOD projesi altyapısı ve İLEMOD veri tabanı kullanılarak güncel halde tutulması ile Bakanlığımızca ihtiyaç duyulan “il envanter bilgilerinin web ortamında tematik harita biçiminde grafik olarak görüntülenebilmesi için oluşturulan grafik sunum yazılımlarının”  Harita Genel Komutanlığınca Bakanlığımıza sağlanması ve </w:t>
      </w:r>
      <w:proofErr w:type="gramStart"/>
      <w:r>
        <w:rPr>
          <w:sz w:val="24"/>
          <w:lang w:val="tr-TR"/>
        </w:rPr>
        <w:t>kullanımıyla  ilgili</w:t>
      </w:r>
      <w:proofErr w:type="gramEnd"/>
      <w:r>
        <w:rPr>
          <w:sz w:val="24"/>
          <w:lang w:val="tr-TR"/>
        </w:rPr>
        <w:t xml:space="preserve"> olarak ortak çalışma yapılacaktır. </w:t>
      </w:r>
    </w:p>
    <w:p w:rsidR="00B260C1" w:rsidRDefault="00B260C1" w:rsidP="00B260C1">
      <w:pPr>
        <w:pStyle w:val="Altbilgi"/>
        <w:ind w:firstLine="708"/>
        <w:jc w:val="both"/>
        <w:rPr>
          <w:sz w:val="24"/>
          <w:lang w:val="tr-TR"/>
        </w:rPr>
      </w:pPr>
    </w:p>
    <w:p w:rsidR="00B260C1" w:rsidRDefault="00B260C1" w:rsidP="00B260C1">
      <w:pPr>
        <w:pStyle w:val="Altbilgi"/>
        <w:ind w:firstLine="708"/>
        <w:jc w:val="both"/>
        <w:rPr>
          <w:sz w:val="24"/>
          <w:lang w:val="tr-TR"/>
        </w:rPr>
      </w:pPr>
      <w:proofErr w:type="gramStart"/>
      <w:r>
        <w:rPr>
          <w:sz w:val="24"/>
          <w:lang w:val="tr-TR"/>
        </w:rPr>
        <w:t xml:space="preserve">Buna göre; </w:t>
      </w:r>
      <w:r>
        <w:rPr>
          <w:b/>
          <w:sz w:val="24"/>
          <w:lang w:val="tr-TR"/>
        </w:rPr>
        <w:t>HGK01-Depolar, HGK02-Atölye ve Fabrikalar, HGK03-İnşaat Şirketleri, HGK04-Müteahhit Müesseseler, HGK05-İş Makineleri Park Yeri, HGK06-Seyyar Ağır İnşaat Teçhizatları, HGK07-Ormancılık Teçhizatları, HGK08-Taş Ocağı Teçhizatları, HGK09-Depolama ve Ulaştırma Teçhizatları, HGK10-Motorlu El Aletleri Teçhizatları, HGK11-Elektrikli İnşaat Teçhizatları, HGK12-Ocak İşletmeleri</w:t>
      </w:r>
      <w:r>
        <w:rPr>
          <w:sz w:val="24"/>
          <w:lang w:val="tr-TR"/>
        </w:rPr>
        <w:t xml:space="preserve"> olarak belirlenmiş olan on iki adet tabloya İLEMOD projesi üzerinden veri girişlerinin yapılması gerekmektedir.</w:t>
      </w:r>
      <w:proofErr w:type="gramEnd"/>
    </w:p>
    <w:p w:rsidR="00B260C1" w:rsidRDefault="00B260C1" w:rsidP="00B260C1">
      <w:pPr>
        <w:pStyle w:val="Altbilgi"/>
        <w:ind w:firstLine="708"/>
        <w:jc w:val="both"/>
        <w:rPr>
          <w:sz w:val="24"/>
          <w:lang w:val="tr-TR"/>
        </w:rPr>
      </w:pPr>
    </w:p>
    <w:p w:rsidR="00B260C1" w:rsidRDefault="00B260C1" w:rsidP="00B260C1">
      <w:pPr>
        <w:pStyle w:val="Altbilgi"/>
        <w:ind w:firstLine="708"/>
        <w:jc w:val="both"/>
        <w:rPr>
          <w:sz w:val="24"/>
          <w:lang w:val="tr-TR"/>
        </w:rPr>
      </w:pPr>
      <w:r>
        <w:rPr>
          <w:sz w:val="24"/>
          <w:lang w:val="tr-TR"/>
        </w:rPr>
        <w:t>Verilerin ilgili kurum ve kuruluşlardan sağlanarak İLEMOD sistemine girişlerinin yapılması konusunda gereğinin yapılmasını arz ve rica ederim.</w:t>
      </w:r>
    </w:p>
    <w:p w:rsidR="00B260C1" w:rsidRDefault="00B260C1" w:rsidP="00B260C1">
      <w:pPr>
        <w:pStyle w:val="Altbilgi"/>
        <w:ind w:firstLine="708"/>
        <w:jc w:val="both"/>
        <w:rPr>
          <w:sz w:val="24"/>
          <w:lang w:val="tr-TR"/>
        </w:rPr>
      </w:pPr>
    </w:p>
    <w:p w:rsidR="00B260C1" w:rsidRDefault="00B260C1" w:rsidP="00B260C1">
      <w:r>
        <w:tab/>
      </w:r>
      <w:r>
        <w:tab/>
      </w:r>
      <w:r>
        <w:tab/>
      </w:r>
      <w:r>
        <w:tab/>
      </w:r>
      <w:r>
        <w:tab/>
      </w:r>
      <w:r>
        <w:tab/>
      </w:r>
      <w:r>
        <w:tab/>
      </w:r>
    </w:p>
    <w:p w:rsidR="00B260C1" w:rsidRDefault="00B260C1" w:rsidP="00B260C1">
      <w:pPr>
        <w:pStyle w:val="Altbilgi"/>
        <w:ind w:left="6360" w:firstLine="12"/>
        <w:rPr>
          <w:sz w:val="24"/>
          <w:lang w:val="tr-TR"/>
        </w:rPr>
      </w:pPr>
      <w:r>
        <w:rPr>
          <w:sz w:val="24"/>
          <w:lang w:val="tr-TR"/>
        </w:rPr>
        <w:t xml:space="preserve">            Mustafa TEKMEN</w:t>
      </w:r>
    </w:p>
    <w:p w:rsidR="00B260C1" w:rsidRDefault="00B260C1" w:rsidP="00B260C1">
      <w:pPr>
        <w:pStyle w:val="Altbilgi"/>
        <w:ind w:left="6360" w:firstLine="720"/>
        <w:rPr>
          <w:sz w:val="24"/>
          <w:lang w:val="tr-TR"/>
        </w:rPr>
      </w:pPr>
      <w:r>
        <w:rPr>
          <w:sz w:val="24"/>
          <w:lang w:val="tr-TR"/>
        </w:rPr>
        <w:t xml:space="preserve">         Bakan a.</w:t>
      </w:r>
    </w:p>
    <w:p w:rsidR="00B260C1" w:rsidRDefault="00B260C1" w:rsidP="00B260C1">
      <w:pPr>
        <w:pStyle w:val="msobodytextfirstindent"/>
        <w:ind w:left="6372" w:firstLine="0"/>
        <w:jc w:val="left"/>
        <w:rPr>
          <w:b w:val="0"/>
        </w:rPr>
      </w:pPr>
      <w:r>
        <w:rPr>
          <w:b w:val="0"/>
        </w:rPr>
        <w:t xml:space="preserve">           Müsteşar Yardımcısı </w:t>
      </w:r>
    </w:p>
    <w:p w:rsidR="00B260C1" w:rsidRDefault="00B260C1" w:rsidP="00B260C1">
      <w:pPr>
        <w:pStyle w:val="msobodytextfirstindent"/>
        <w:ind w:left="6372" w:firstLine="0"/>
        <w:rPr>
          <w:b w:val="0"/>
        </w:rPr>
      </w:pPr>
    </w:p>
    <w:p w:rsidR="00B260C1" w:rsidRDefault="00B260C1" w:rsidP="00B260C1">
      <w:pPr>
        <w:pStyle w:val="msobodytextfirstindent"/>
        <w:ind w:firstLine="0"/>
        <w:jc w:val="left"/>
        <w:rPr>
          <w:b w:val="0"/>
        </w:rPr>
      </w:pPr>
    </w:p>
    <w:p w:rsidR="00B260C1" w:rsidRDefault="00B260C1" w:rsidP="00B260C1">
      <w:pPr>
        <w:rPr>
          <w:u w:val="single"/>
        </w:rPr>
      </w:pPr>
    </w:p>
    <w:p w:rsidR="00B260C1" w:rsidRDefault="00B260C1" w:rsidP="00B260C1">
      <w:pPr>
        <w:rPr>
          <w:u w:val="single"/>
        </w:rPr>
      </w:pPr>
    </w:p>
    <w:p w:rsidR="00B260C1" w:rsidRDefault="00B260C1" w:rsidP="00B260C1">
      <w:pPr>
        <w:rPr>
          <w:u w:val="single"/>
        </w:rPr>
      </w:pPr>
    </w:p>
    <w:p w:rsidR="00B260C1" w:rsidRDefault="00B260C1" w:rsidP="00B260C1">
      <w:pPr>
        <w:rPr>
          <w:u w:val="single"/>
        </w:rPr>
      </w:pPr>
      <w:r>
        <w:rPr>
          <w:u w:val="single"/>
        </w:rPr>
        <w:t>DAĞITIM</w:t>
      </w:r>
      <w:r>
        <w:rPr>
          <w:u w:val="single"/>
        </w:rPr>
        <w:tab/>
      </w:r>
      <w:r>
        <w:rPr>
          <w:u w:val="single"/>
        </w:rPr>
        <w:tab/>
        <w:t>:</w:t>
      </w:r>
    </w:p>
    <w:p w:rsidR="00B260C1" w:rsidRDefault="00B260C1" w:rsidP="00B260C1">
      <w:pPr>
        <w:rPr>
          <w:u w:val="single"/>
        </w:rPr>
      </w:pPr>
      <w:r>
        <w:rPr>
          <w:u w:val="single"/>
        </w:rPr>
        <w:t xml:space="preserve">Gereği İçin </w:t>
      </w:r>
      <w:r>
        <w:rPr>
          <w:u w:val="single"/>
        </w:rPr>
        <w:tab/>
      </w:r>
      <w:r>
        <w:rPr>
          <w:u w:val="single"/>
        </w:rPr>
        <w:tab/>
        <w:t>:</w:t>
      </w:r>
      <w:r>
        <w:tab/>
      </w:r>
      <w:r>
        <w:rPr>
          <w:u w:val="single"/>
        </w:rPr>
        <w:t>Bilgi İçin</w:t>
      </w:r>
      <w:r>
        <w:rPr>
          <w:u w:val="single"/>
        </w:rPr>
        <w:tab/>
      </w:r>
      <w:r>
        <w:rPr>
          <w:u w:val="single"/>
        </w:rPr>
        <w:tab/>
        <w:t>:</w:t>
      </w:r>
    </w:p>
    <w:p w:rsidR="00B260C1" w:rsidRDefault="00B260C1" w:rsidP="00B260C1">
      <w:r>
        <w:t xml:space="preserve">81 </w:t>
      </w:r>
      <w:proofErr w:type="gramStart"/>
      <w:r>
        <w:t>İl  Valiliğine</w:t>
      </w:r>
      <w:proofErr w:type="gramEnd"/>
      <w:r>
        <w:tab/>
      </w:r>
      <w:r>
        <w:tab/>
        <w:t>Milli Savunma Bakanlığına</w:t>
      </w:r>
    </w:p>
    <w:p w:rsidR="00B260C1" w:rsidRDefault="00B260C1" w:rsidP="00B260C1">
      <w:pPr>
        <w:pStyle w:val="Altbilgi"/>
        <w:rPr>
          <w:color w:val="000000"/>
          <w:sz w:val="24"/>
          <w:lang w:val="tr-TR"/>
        </w:rPr>
      </w:pPr>
      <w:r>
        <w:rPr>
          <w:color w:val="000000"/>
          <w:sz w:val="24"/>
          <w:lang w:val="tr-TR"/>
        </w:rPr>
        <w:t xml:space="preserve">  </w:t>
      </w:r>
      <w:r>
        <w:rPr>
          <w:color w:val="000000"/>
          <w:sz w:val="24"/>
          <w:lang w:val="tr-TR"/>
        </w:rPr>
        <w:tab/>
      </w:r>
      <w:r>
        <w:rPr>
          <w:color w:val="000000"/>
          <w:sz w:val="24"/>
          <w:lang w:val="tr-TR"/>
        </w:rPr>
        <w:tab/>
      </w:r>
      <w:r>
        <w:rPr>
          <w:color w:val="000000"/>
          <w:sz w:val="24"/>
          <w:lang w:val="tr-TR"/>
        </w:rPr>
        <w:tab/>
      </w:r>
      <w:r>
        <w:rPr>
          <w:color w:val="000000"/>
          <w:sz w:val="24"/>
          <w:lang w:val="tr-TR"/>
        </w:rPr>
        <w:tab/>
        <w:t>(Harita Genel Komutanlığı)</w:t>
      </w:r>
    </w:p>
    <w:p w:rsidR="00B260C1" w:rsidRDefault="00B260C1" w:rsidP="00B260C1">
      <w:pPr>
        <w:pStyle w:val="Altbilgi"/>
        <w:rPr>
          <w:color w:val="000000"/>
          <w:sz w:val="24"/>
          <w:lang w:val="tr-TR"/>
        </w:rPr>
      </w:pPr>
    </w:p>
    <w:p w:rsidR="00B260C1" w:rsidRDefault="00B260C1" w:rsidP="00B260C1">
      <w:pPr>
        <w:pStyle w:val="Altbilgi"/>
        <w:rPr>
          <w:color w:val="000000"/>
          <w:sz w:val="24"/>
          <w:lang w:val="tr-TR"/>
        </w:rPr>
      </w:pPr>
    </w:p>
    <w:tbl>
      <w:tblPr>
        <w:tblW w:w="0" w:type="auto"/>
        <w:tblInd w:w="70" w:type="dxa"/>
        <w:tblLayout w:type="fixed"/>
        <w:tblCellMar>
          <w:left w:w="70" w:type="dxa"/>
          <w:right w:w="70" w:type="dxa"/>
        </w:tblCellMar>
        <w:tblLook w:val="04A0" w:firstRow="1" w:lastRow="0" w:firstColumn="1" w:lastColumn="0" w:noHBand="0" w:noVBand="1"/>
      </w:tblPr>
      <w:tblGrid>
        <w:gridCol w:w="1134"/>
        <w:gridCol w:w="1276"/>
        <w:gridCol w:w="284"/>
        <w:gridCol w:w="1559"/>
      </w:tblGrid>
      <w:tr w:rsidR="00B260C1" w:rsidTr="00B260C1">
        <w:trPr>
          <w:trHeight w:val="163"/>
        </w:trPr>
        <w:tc>
          <w:tcPr>
            <w:tcW w:w="1134" w:type="dxa"/>
          </w:tcPr>
          <w:p w:rsidR="00B260C1" w:rsidRDefault="00B260C1">
            <w:pPr>
              <w:jc w:val="both"/>
              <w:rPr>
                <w:color w:val="000000"/>
              </w:rPr>
            </w:pPr>
          </w:p>
        </w:tc>
        <w:tc>
          <w:tcPr>
            <w:tcW w:w="1276" w:type="dxa"/>
          </w:tcPr>
          <w:p w:rsidR="00B260C1" w:rsidRDefault="00B260C1">
            <w:pPr>
              <w:jc w:val="both"/>
              <w:rPr>
                <w:color w:val="000000"/>
              </w:rPr>
            </w:pPr>
          </w:p>
        </w:tc>
        <w:tc>
          <w:tcPr>
            <w:tcW w:w="284" w:type="dxa"/>
          </w:tcPr>
          <w:p w:rsidR="00B260C1" w:rsidRDefault="00B260C1">
            <w:pPr>
              <w:jc w:val="both"/>
              <w:rPr>
                <w:color w:val="000000"/>
              </w:rPr>
            </w:pPr>
          </w:p>
        </w:tc>
        <w:tc>
          <w:tcPr>
            <w:tcW w:w="1559" w:type="dxa"/>
          </w:tcPr>
          <w:p w:rsidR="00B260C1" w:rsidRDefault="00B260C1">
            <w:pPr>
              <w:jc w:val="both"/>
              <w:rPr>
                <w:color w:val="000000"/>
              </w:rPr>
            </w:pPr>
          </w:p>
        </w:tc>
      </w:tr>
      <w:tr w:rsidR="00B260C1" w:rsidTr="00B260C1">
        <w:trPr>
          <w:trHeight w:val="253"/>
        </w:trPr>
        <w:tc>
          <w:tcPr>
            <w:tcW w:w="1134" w:type="dxa"/>
          </w:tcPr>
          <w:p w:rsidR="00B260C1" w:rsidRDefault="00B260C1">
            <w:pPr>
              <w:jc w:val="both"/>
              <w:rPr>
                <w:color w:val="000000"/>
              </w:rPr>
            </w:pPr>
          </w:p>
        </w:tc>
        <w:tc>
          <w:tcPr>
            <w:tcW w:w="1276" w:type="dxa"/>
          </w:tcPr>
          <w:p w:rsidR="00B260C1" w:rsidRDefault="00B260C1">
            <w:pPr>
              <w:jc w:val="both"/>
              <w:rPr>
                <w:color w:val="000000"/>
              </w:rPr>
            </w:pPr>
          </w:p>
        </w:tc>
        <w:tc>
          <w:tcPr>
            <w:tcW w:w="284" w:type="dxa"/>
          </w:tcPr>
          <w:p w:rsidR="00B260C1" w:rsidRDefault="00B260C1">
            <w:pPr>
              <w:jc w:val="both"/>
              <w:rPr>
                <w:color w:val="000000"/>
              </w:rPr>
            </w:pPr>
          </w:p>
        </w:tc>
        <w:tc>
          <w:tcPr>
            <w:tcW w:w="1559" w:type="dxa"/>
          </w:tcPr>
          <w:p w:rsidR="00B260C1" w:rsidRDefault="00B260C1">
            <w:pPr>
              <w:jc w:val="both"/>
              <w:rPr>
                <w:color w:val="000000"/>
              </w:rPr>
            </w:pPr>
          </w:p>
        </w:tc>
      </w:tr>
    </w:tbl>
    <w:p w:rsidR="00B260C1" w:rsidRPr="00B260C1" w:rsidRDefault="00B260C1" w:rsidP="00B260C1">
      <w:pPr>
        <w:tabs>
          <w:tab w:val="left" w:pos="5490"/>
        </w:tabs>
      </w:pPr>
      <w:bookmarkStart w:id="0" w:name="_GoBack"/>
      <w:bookmarkEnd w:id="0"/>
    </w:p>
    <w:sectPr w:rsidR="00B260C1" w:rsidRPr="00B260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741C7"/>
    <w:multiLevelType w:val="hybridMultilevel"/>
    <w:tmpl w:val="593E247A"/>
    <w:lvl w:ilvl="0" w:tplc="041F000B">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36DD0A77"/>
    <w:multiLevelType w:val="hybridMultilevel"/>
    <w:tmpl w:val="68867512"/>
    <w:lvl w:ilvl="0" w:tplc="041F0001">
      <w:start w:val="1"/>
      <w:numFmt w:val="bullet"/>
      <w:lvlText w:val=""/>
      <w:lvlJc w:val="left"/>
      <w:pPr>
        <w:tabs>
          <w:tab w:val="num" w:pos="1428"/>
        </w:tabs>
        <w:ind w:left="1428" w:hanging="360"/>
      </w:pPr>
      <w:rPr>
        <w:rFonts w:ascii="Symbol" w:hAnsi="Symbol" w:hint="default"/>
      </w:rPr>
    </w:lvl>
    <w:lvl w:ilvl="1" w:tplc="041F0003">
      <w:start w:val="1"/>
      <w:numFmt w:val="bullet"/>
      <w:lvlText w:val="o"/>
      <w:lvlJc w:val="left"/>
      <w:pPr>
        <w:tabs>
          <w:tab w:val="num" w:pos="2148"/>
        </w:tabs>
        <w:ind w:left="2148" w:hanging="360"/>
      </w:pPr>
      <w:rPr>
        <w:rFonts w:ascii="Courier New" w:hAnsi="Courier New" w:cs="Courier New" w:hint="default"/>
      </w:rPr>
    </w:lvl>
    <w:lvl w:ilvl="2" w:tplc="041F0005">
      <w:start w:val="1"/>
      <w:numFmt w:val="bullet"/>
      <w:lvlText w:val=""/>
      <w:lvlJc w:val="left"/>
      <w:pPr>
        <w:tabs>
          <w:tab w:val="num" w:pos="2868"/>
        </w:tabs>
        <w:ind w:left="2868" w:hanging="360"/>
      </w:pPr>
      <w:rPr>
        <w:rFonts w:ascii="Wingdings" w:hAnsi="Wingdings" w:hint="default"/>
      </w:rPr>
    </w:lvl>
    <w:lvl w:ilvl="3" w:tplc="041F0001">
      <w:start w:val="1"/>
      <w:numFmt w:val="bullet"/>
      <w:lvlText w:val=""/>
      <w:lvlJc w:val="left"/>
      <w:pPr>
        <w:tabs>
          <w:tab w:val="num" w:pos="3588"/>
        </w:tabs>
        <w:ind w:left="3588" w:hanging="360"/>
      </w:pPr>
      <w:rPr>
        <w:rFonts w:ascii="Symbol" w:hAnsi="Symbol" w:hint="default"/>
      </w:rPr>
    </w:lvl>
    <w:lvl w:ilvl="4" w:tplc="041F0003">
      <w:start w:val="1"/>
      <w:numFmt w:val="bullet"/>
      <w:lvlText w:val="o"/>
      <w:lvlJc w:val="left"/>
      <w:pPr>
        <w:tabs>
          <w:tab w:val="num" w:pos="4308"/>
        </w:tabs>
        <w:ind w:left="4308" w:hanging="360"/>
      </w:pPr>
      <w:rPr>
        <w:rFonts w:ascii="Courier New" w:hAnsi="Courier New" w:cs="Courier New" w:hint="default"/>
      </w:rPr>
    </w:lvl>
    <w:lvl w:ilvl="5" w:tplc="041F0005">
      <w:start w:val="1"/>
      <w:numFmt w:val="bullet"/>
      <w:lvlText w:val=""/>
      <w:lvlJc w:val="left"/>
      <w:pPr>
        <w:tabs>
          <w:tab w:val="num" w:pos="5028"/>
        </w:tabs>
        <w:ind w:left="5028" w:hanging="360"/>
      </w:pPr>
      <w:rPr>
        <w:rFonts w:ascii="Wingdings" w:hAnsi="Wingdings" w:hint="default"/>
      </w:rPr>
    </w:lvl>
    <w:lvl w:ilvl="6" w:tplc="041F0001">
      <w:start w:val="1"/>
      <w:numFmt w:val="bullet"/>
      <w:lvlText w:val=""/>
      <w:lvlJc w:val="left"/>
      <w:pPr>
        <w:tabs>
          <w:tab w:val="num" w:pos="5748"/>
        </w:tabs>
        <w:ind w:left="5748" w:hanging="360"/>
      </w:pPr>
      <w:rPr>
        <w:rFonts w:ascii="Symbol" w:hAnsi="Symbol" w:hint="default"/>
      </w:rPr>
    </w:lvl>
    <w:lvl w:ilvl="7" w:tplc="041F0003">
      <w:start w:val="1"/>
      <w:numFmt w:val="bullet"/>
      <w:lvlText w:val="o"/>
      <w:lvlJc w:val="left"/>
      <w:pPr>
        <w:tabs>
          <w:tab w:val="num" w:pos="6468"/>
        </w:tabs>
        <w:ind w:left="6468" w:hanging="360"/>
      </w:pPr>
      <w:rPr>
        <w:rFonts w:ascii="Courier New" w:hAnsi="Courier New" w:cs="Courier New" w:hint="default"/>
      </w:rPr>
    </w:lvl>
    <w:lvl w:ilvl="8" w:tplc="041F0005">
      <w:start w:val="1"/>
      <w:numFmt w:val="bullet"/>
      <w:lvlText w:val=""/>
      <w:lvlJc w:val="left"/>
      <w:pPr>
        <w:tabs>
          <w:tab w:val="num" w:pos="7188"/>
        </w:tabs>
        <w:ind w:left="7188" w:hanging="360"/>
      </w:pPr>
      <w:rPr>
        <w:rFonts w:ascii="Wingdings" w:hAnsi="Wingdings" w:hint="default"/>
      </w:rPr>
    </w:lvl>
  </w:abstractNum>
  <w:abstractNum w:abstractNumId="2">
    <w:nsid w:val="51D10C19"/>
    <w:multiLevelType w:val="hybridMultilevel"/>
    <w:tmpl w:val="93525912"/>
    <w:lvl w:ilvl="0" w:tplc="041F0001">
      <w:start w:val="1"/>
      <w:numFmt w:val="bullet"/>
      <w:lvlText w:val=""/>
      <w:lvlJc w:val="left"/>
      <w:pPr>
        <w:tabs>
          <w:tab w:val="num" w:pos="1428"/>
        </w:tabs>
        <w:ind w:left="1428" w:hanging="360"/>
      </w:pPr>
      <w:rPr>
        <w:rFonts w:ascii="Symbol" w:hAnsi="Symbol" w:hint="default"/>
      </w:rPr>
    </w:lvl>
    <w:lvl w:ilvl="1" w:tplc="041F0003">
      <w:start w:val="1"/>
      <w:numFmt w:val="bullet"/>
      <w:lvlText w:val="o"/>
      <w:lvlJc w:val="left"/>
      <w:pPr>
        <w:tabs>
          <w:tab w:val="num" w:pos="2148"/>
        </w:tabs>
        <w:ind w:left="2148" w:hanging="360"/>
      </w:pPr>
      <w:rPr>
        <w:rFonts w:ascii="Courier New" w:hAnsi="Courier New" w:cs="Courier New" w:hint="default"/>
      </w:rPr>
    </w:lvl>
    <w:lvl w:ilvl="2" w:tplc="041F0005">
      <w:start w:val="1"/>
      <w:numFmt w:val="bullet"/>
      <w:lvlText w:val=""/>
      <w:lvlJc w:val="left"/>
      <w:pPr>
        <w:tabs>
          <w:tab w:val="num" w:pos="2868"/>
        </w:tabs>
        <w:ind w:left="2868" w:hanging="360"/>
      </w:pPr>
      <w:rPr>
        <w:rFonts w:ascii="Wingdings" w:hAnsi="Wingdings" w:hint="default"/>
      </w:rPr>
    </w:lvl>
    <w:lvl w:ilvl="3" w:tplc="041F0001">
      <w:start w:val="1"/>
      <w:numFmt w:val="bullet"/>
      <w:lvlText w:val=""/>
      <w:lvlJc w:val="left"/>
      <w:pPr>
        <w:tabs>
          <w:tab w:val="num" w:pos="3588"/>
        </w:tabs>
        <w:ind w:left="3588" w:hanging="360"/>
      </w:pPr>
      <w:rPr>
        <w:rFonts w:ascii="Symbol" w:hAnsi="Symbol" w:hint="default"/>
      </w:rPr>
    </w:lvl>
    <w:lvl w:ilvl="4" w:tplc="041F0003">
      <w:start w:val="1"/>
      <w:numFmt w:val="bullet"/>
      <w:lvlText w:val="o"/>
      <w:lvlJc w:val="left"/>
      <w:pPr>
        <w:tabs>
          <w:tab w:val="num" w:pos="4308"/>
        </w:tabs>
        <w:ind w:left="4308" w:hanging="360"/>
      </w:pPr>
      <w:rPr>
        <w:rFonts w:ascii="Courier New" w:hAnsi="Courier New" w:cs="Courier New" w:hint="default"/>
      </w:rPr>
    </w:lvl>
    <w:lvl w:ilvl="5" w:tplc="041F0005">
      <w:start w:val="1"/>
      <w:numFmt w:val="bullet"/>
      <w:lvlText w:val=""/>
      <w:lvlJc w:val="left"/>
      <w:pPr>
        <w:tabs>
          <w:tab w:val="num" w:pos="5028"/>
        </w:tabs>
        <w:ind w:left="5028" w:hanging="360"/>
      </w:pPr>
      <w:rPr>
        <w:rFonts w:ascii="Wingdings" w:hAnsi="Wingdings" w:hint="default"/>
      </w:rPr>
    </w:lvl>
    <w:lvl w:ilvl="6" w:tplc="041F0001">
      <w:start w:val="1"/>
      <w:numFmt w:val="bullet"/>
      <w:lvlText w:val=""/>
      <w:lvlJc w:val="left"/>
      <w:pPr>
        <w:tabs>
          <w:tab w:val="num" w:pos="5748"/>
        </w:tabs>
        <w:ind w:left="5748" w:hanging="360"/>
      </w:pPr>
      <w:rPr>
        <w:rFonts w:ascii="Symbol" w:hAnsi="Symbol" w:hint="default"/>
      </w:rPr>
    </w:lvl>
    <w:lvl w:ilvl="7" w:tplc="041F0003">
      <w:start w:val="1"/>
      <w:numFmt w:val="bullet"/>
      <w:lvlText w:val="o"/>
      <w:lvlJc w:val="left"/>
      <w:pPr>
        <w:tabs>
          <w:tab w:val="num" w:pos="6468"/>
        </w:tabs>
        <w:ind w:left="6468" w:hanging="360"/>
      </w:pPr>
      <w:rPr>
        <w:rFonts w:ascii="Courier New" w:hAnsi="Courier New" w:cs="Courier New" w:hint="default"/>
      </w:rPr>
    </w:lvl>
    <w:lvl w:ilvl="8" w:tplc="041F0005">
      <w:start w:val="1"/>
      <w:numFmt w:val="bullet"/>
      <w:lvlText w:val=""/>
      <w:lvlJc w:val="left"/>
      <w:pPr>
        <w:tabs>
          <w:tab w:val="num" w:pos="7188"/>
        </w:tabs>
        <w:ind w:left="7188" w:hanging="360"/>
      </w:pPr>
      <w:rPr>
        <w:rFonts w:ascii="Wingdings" w:hAnsi="Wingdings" w:hint="default"/>
      </w:rPr>
    </w:lvl>
  </w:abstractNum>
  <w:abstractNum w:abstractNumId="3">
    <w:nsid w:val="54D660F8"/>
    <w:multiLevelType w:val="hybridMultilevel"/>
    <w:tmpl w:val="A32E97D8"/>
    <w:lvl w:ilvl="0" w:tplc="518A8AAE">
      <w:start w:val="3"/>
      <w:numFmt w:val="bullet"/>
      <w:lvlText w:val="-"/>
      <w:lvlJc w:val="left"/>
      <w:pPr>
        <w:tabs>
          <w:tab w:val="num" w:pos="720"/>
        </w:tabs>
        <w:ind w:left="72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nsid w:val="61473F26"/>
    <w:multiLevelType w:val="hybridMultilevel"/>
    <w:tmpl w:val="AB345DE6"/>
    <w:lvl w:ilvl="0" w:tplc="518A8AAE">
      <w:start w:val="3"/>
      <w:numFmt w:val="bullet"/>
      <w:lvlText w:val="-"/>
      <w:lvlJc w:val="left"/>
      <w:pPr>
        <w:tabs>
          <w:tab w:val="num" w:pos="720"/>
        </w:tabs>
        <w:ind w:left="72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63017824"/>
    <w:multiLevelType w:val="hybridMultilevel"/>
    <w:tmpl w:val="817E302A"/>
    <w:lvl w:ilvl="0" w:tplc="041F0001">
      <w:start w:val="1"/>
      <w:numFmt w:val="bullet"/>
      <w:lvlText w:val=""/>
      <w:lvlJc w:val="left"/>
      <w:pPr>
        <w:tabs>
          <w:tab w:val="num" w:pos="1428"/>
        </w:tabs>
        <w:ind w:left="1428" w:hanging="360"/>
      </w:pPr>
      <w:rPr>
        <w:rFonts w:ascii="Symbol" w:hAnsi="Symbol" w:hint="default"/>
      </w:rPr>
    </w:lvl>
    <w:lvl w:ilvl="1" w:tplc="041F0003">
      <w:start w:val="1"/>
      <w:numFmt w:val="bullet"/>
      <w:lvlText w:val="o"/>
      <w:lvlJc w:val="left"/>
      <w:pPr>
        <w:tabs>
          <w:tab w:val="num" w:pos="2148"/>
        </w:tabs>
        <w:ind w:left="2148" w:hanging="360"/>
      </w:pPr>
      <w:rPr>
        <w:rFonts w:ascii="Courier New" w:hAnsi="Courier New" w:cs="Courier New" w:hint="default"/>
      </w:rPr>
    </w:lvl>
    <w:lvl w:ilvl="2" w:tplc="041F0005">
      <w:start w:val="1"/>
      <w:numFmt w:val="bullet"/>
      <w:lvlText w:val=""/>
      <w:lvlJc w:val="left"/>
      <w:pPr>
        <w:tabs>
          <w:tab w:val="num" w:pos="2868"/>
        </w:tabs>
        <w:ind w:left="2868" w:hanging="360"/>
      </w:pPr>
      <w:rPr>
        <w:rFonts w:ascii="Wingdings" w:hAnsi="Wingdings" w:hint="default"/>
      </w:rPr>
    </w:lvl>
    <w:lvl w:ilvl="3" w:tplc="041F0001">
      <w:start w:val="1"/>
      <w:numFmt w:val="bullet"/>
      <w:lvlText w:val=""/>
      <w:lvlJc w:val="left"/>
      <w:pPr>
        <w:tabs>
          <w:tab w:val="num" w:pos="3588"/>
        </w:tabs>
        <w:ind w:left="3588" w:hanging="360"/>
      </w:pPr>
      <w:rPr>
        <w:rFonts w:ascii="Symbol" w:hAnsi="Symbol" w:hint="default"/>
      </w:rPr>
    </w:lvl>
    <w:lvl w:ilvl="4" w:tplc="041F0003">
      <w:start w:val="1"/>
      <w:numFmt w:val="bullet"/>
      <w:lvlText w:val="o"/>
      <w:lvlJc w:val="left"/>
      <w:pPr>
        <w:tabs>
          <w:tab w:val="num" w:pos="4308"/>
        </w:tabs>
        <w:ind w:left="4308" w:hanging="360"/>
      </w:pPr>
      <w:rPr>
        <w:rFonts w:ascii="Courier New" w:hAnsi="Courier New" w:cs="Courier New" w:hint="default"/>
      </w:rPr>
    </w:lvl>
    <w:lvl w:ilvl="5" w:tplc="041F0005">
      <w:start w:val="1"/>
      <w:numFmt w:val="bullet"/>
      <w:lvlText w:val=""/>
      <w:lvlJc w:val="left"/>
      <w:pPr>
        <w:tabs>
          <w:tab w:val="num" w:pos="5028"/>
        </w:tabs>
        <w:ind w:left="5028" w:hanging="360"/>
      </w:pPr>
      <w:rPr>
        <w:rFonts w:ascii="Wingdings" w:hAnsi="Wingdings" w:hint="default"/>
      </w:rPr>
    </w:lvl>
    <w:lvl w:ilvl="6" w:tplc="041F0001">
      <w:start w:val="1"/>
      <w:numFmt w:val="bullet"/>
      <w:lvlText w:val=""/>
      <w:lvlJc w:val="left"/>
      <w:pPr>
        <w:tabs>
          <w:tab w:val="num" w:pos="5748"/>
        </w:tabs>
        <w:ind w:left="5748" w:hanging="360"/>
      </w:pPr>
      <w:rPr>
        <w:rFonts w:ascii="Symbol" w:hAnsi="Symbol" w:hint="default"/>
      </w:rPr>
    </w:lvl>
    <w:lvl w:ilvl="7" w:tplc="041F0003">
      <w:start w:val="1"/>
      <w:numFmt w:val="bullet"/>
      <w:lvlText w:val="o"/>
      <w:lvlJc w:val="left"/>
      <w:pPr>
        <w:tabs>
          <w:tab w:val="num" w:pos="6468"/>
        </w:tabs>
        <w:ind w:left="6468" w:hanging="360"/>
      </w:pPr>
      <w:rPr>
        <w:rFonts w:ascii="Courier New" w:hAnsi="Courier New" w:cs="Courier New" w:hint="default"/>
      </w:rPr>
    </w:lvl>
    <w:lvl w:ilvl="8" w:tplc="041F0005">
      <w:start w:val="1"/>
      <w:numFmt w:val="bullet"/>
      <w:lvlText w:val=""/>
      <w:lvlJc w:val="left"/>
      <w:pPr>
        <w:tabs>
          <w:tab w:val="num" w:pos="7188"/>
        </w:tabs>
        <w:ind w:left="7188"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80"/>
    <w:rsid w:val="00007EEA"/>
    <w:rsid w:val="0002276E"/>
    <w:rsid w:val="0015500A"/>
    <w:rsid w:val="00817E80"/>
    <w:rsid w:val="00B260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0C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260C1"/>
    <w:pPr>
      <w:keepNext/>
      <w:outlineLvl w:val="0"/>
    </w:pPr>
    <w:rPr>
      <w:b/>
      <w:bCs/>
    </w:rPr>
  </w:style>
  <w:style w:type="paragraph" w:styleId="Balk2">
    <w:name w:val="heading 2"/>
    <w:basedOn w:val="Normal"/>
    <w:next w:val="Normal"/>
    <w:link w:val="Balk2Char"/>
    <w:semiHidden/>
    <w:unhideWhenUsed/>
    <w:qFormat/>
    <w:rsid w:val="00B260C1"/>
    <w:pPr>
      <w:keepNext/>
      <w:jc w:val="center"/>
      <w:outlineLvl w:val="1"/>
    </w:pPr>
    <w:rPr>
      <w:b/>
      <w:bCs/>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260C1"/>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semiHidden/>
    <w:rsid w:val="00B260C1"/>
    <w:rPr>
      <w:rFonts w:ascii="Times New Roman" w:eastAsia="Times New Roman" w:hAnsi="Times New Roman" w:cs="Times New Roman"/>
      <w:b/>
      <w:bCs/>
      <w:sz w:val="24"/>
      <w:szCs w:val="24"/>
      <w:u w:val="single"/>
      <w:lang w:eastAsia="tr-TR"/>
    </w:rPr>
  </w:style>
  <w:style w:type="paragraph" w:styleId="Altbilgi">
    <w:name w:val="footer"/>
    <w:basedOn w:val="Normal"/>
    <w:link w:val="AltbilgiChar"/>
    <w:semiHidden/>
    <w:unhideWhenUsed/>
    <w:rsid w:val="00B260C1"/>
    <w:pPr>
      <w:suppressAutoHyphens/>
    </w:pPr>
    <w:rPr>
      <w:sz w:val="20"/>
      <w:szCs w:val="20"/>
      <w:lang w:val="en-AU"/>
    </w:rPr>
  </w:style>
  <w:style w:type="character" w:customStyle="1" w:styleId="AltbilgiChar">
    <w:name w:val="Altbilgi Char"/>
    <w:basedOn w:val="VarsaylanParagrafYazTipi"/>
    <w:link w:val="Altbilgi"/>
    <w:semiHidden/>
    <w:rsid w:val="00B260C1"/>
    <w:rPr>
      <w:rFonts w:ascii="Times New Roman" w:eastAsia="Times New Roman" w:hAnsi="Times New Roman" w:cs="Times New Roman"/>
      <w:sz w:val="20"/>
      <w:szCs w:val="20"/>
      <w:lang w:val="en-AU" w:eastAsia="tr-TR"/>
    </w:rPr>
  </w:style>
  <w:style w:type="paragraph" w:customStyle="1" w:styleId="msobodytextfirstindent">
    <w:name w:val="msobodytextfirstindent"/>
    <w:basedOn w:val="GvdeMetni"/>
    <w:rsid w:val="00B260C1"/>
    <w:pPr>
      <w:suppressAutoHyphens/>
      <w:spacing w:after="0"/>
      <w:ind w:firstLine="283"/>
      <w:jc w:val="center"/>
    </w:pPr>
    <w:rPr>
      <w:b/>
      <w:szCs w:val="20"/>
    </w:rPr>
  </w:style>
  <w:style w:type="paragraph" w:styleId="GvdeMetni">
    <w:name w:val="Body Text"/>
    <w:basedOn w:val="Normal"/>
    <w:link w:val="GvdeMetniChar"/>
    <w:uiPriority w:val="99"/>
    <w:semiHidden/>
    <w:unhideWhenUsed/>
    <w:rsid w:val="00B260C1"/>
    <w:pPr>
      <w:spacing w:after="120"/>
    </w:pPr>
  </w:style>
  <w:style w:type="character" w:customStyle="1" w:styleId="GvdeMetniChar">
    <w:name w:val="Gövde Metni Char"/>
    <w:basedOn w:val="VarsaylanParagrafYazTipi"/>
    <w:link w:val="GvdeMetni"/>
    <w:uiPriority w:val="99"/>
    <w:semiHidden/>
    <w:rsid w:val="00B260C1"/>
    <w:rPr>
      <w:rFonts w:ascii="Times New Roman" w:eastAsia="Times New Roman" w:hAnsi="Times New Roman" w:cs="Times New Roman"/>
      <w:sz w:val="24"/>
      <w:szCs w:val="24"/>
      <w:lang w:eastAsia="tr-TR"/>
    </w:rPr>
  </w:style>
  <w:style w:type="paragraph" w:styleId="stbilgi">
    <w:name w:val="header"/>
    <w:basedOn w:val="Normal"/>
    <w:link w:val="stbilgiChar"/>
    <w:rsid w:val="00B260C1"/>
    <w:pPr>
      <w:tabs>
        <w:tab w:val="center" w:pos="4536"/>
        <w:tab w:val="right" w:pos="9072"/>
      </w:tabs>
    </w:pPr>
    <w:rPr>
      <w:sz w:val="20"/>
      <w:szCs w:val="20"/>
    </w:rPr>
  </w:style>
  <w:style w:type="character" w:customStyle="1" w:styleId="stbilgiChar">
    <w:name w:val="Üstbilgi Char"/>
    <w:basedOn w:val="VarsaylanParagrafYazTipi"/>
    <w:link w:val="stbilgi"/>
    <w:rsid w:val="00B260C1"/>
    <w:rPr>
      <w:rFonts w:ascii="Times New Roman" w:eastAsia="Times New Roman" w:hAnsi="Times New Roman" w:cs="Times New Roman"/>
      <w:sz w:val="20"/>
      <w:szCs w:val="20"/>
      <w:lang w:eastAsia="tr-TR"/>
    </w:rPr>
  </w:style>
  <w:style w:type="paragraph" w:customStyle="1" w:styleId="WW-GvdeMetni2">
    <w:name w:val="WW-Gövde Metni 2"/>
    <w:basedOn w:val="Normal"/>
    <w:rsid w:val="00B260C1"/>
    <w:pPr>
      <w:suppressAutoHyphens/>
      <w:jc w:val="both"/>
    </w:pPr>
    <w:rPr>
      <w:szCs w:val="20"/>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0C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260C1"/>
    <w:pPr>
      <w:keepNext/>
      <w:outlineLvl w:val="0"/>
    </w:pPr>
    <w:rPr>
      <w:b/>
      <w:bCs/>
    </w:rPr>
  </w:style>
  <w:style w:type="paragraph" w:styleId="Balk2">
    <w:name w:val="heading 2"/>
    <w:basedOn w:val="Normal"/>
    <w:next w:val="Normal"/>
    <w:link w:val="Balk2Char"/>
    <w:semiHidden/>
    <w:unhideWhenUsed/>
    <w:qFormat/>
    <w:rsid w:val="00B260C1"/>
    <w:pPr>
      <w:keepNext/>
      <w:jc w:val="center"/>
      <w:outlineLvl w:val="1"/>
    </w:pPr>
    <w:rPr>
      <w:b/>
      <w:bCs/>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260C1"/>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semiHidden/>
    <w:rsid w:val="00B260C1"/>
    <w:rPr>
      <w:rFonts w:ascii="Times New Roman" w:eastAsia="Times New Roman" w:hAnsi="Times New Roman" w:cs="Times New Roman"/>
      <w:b/>
      <w:bCs/>
      <w:sz w:val="24"/>
      <w:szCs w:val="24"/>
      <w:u w:val="single"/>
      <w:lang w:eastAsia="tr-TR"/>
    </w:rPr>
  </w:style>
  <w:style w:type="paragraph" w:styleId="Altbilgi">
    <w:name w:val="footer"/>
    <w:basedOn w:val="Normal"/>
    <w:link w:val="AltbilgiChar"/>
    <w:semiHidden/>
    <w:unhideWhenUsed/>
    <w:rsid w:val="00B260C1"/>
    <w:pPr>
      <w:suppressAutoHyphens/>
    </w:pPr>
    <w:rPr>
      <w:sz w:val="20"/>
      <w:szCs w:val="20"/>
      <w:lang w:val="en-AU"/>
    </w:rPr>
  </w:style>
  <w:style w:type="character" w:customStyle="1" w:styleId="AltbilgiChar">
    <w:name w:val="Altbilgi Char"/>
    <w:basedOn w:val="VarsaylanParagrafYazTipi"/>
    <w:link w:val="Altbilgi"/>
    <w:semiHidden/>
    <w:rsid w:val="00B260C1"/>
    <w:rPr>
      <w:rFonts w:ascii="Times New Roman" w:eastAsia="Times New Roman" w:hAnsi="Times New Roman" w:cs="Times New Roman"/>
      <w:sz w:val="20"/>
      <w:szCs w:val="20"/>
      <w:lang w:val="en-AU" w:eastAsia="tr-TR"/>
    </w:rPr>
  </w:style>
  <w:style w:type="paragraph" w:customStyle="1" w:styleId="msobodytextfirstindent">
    <w:name w:val="msobodytextfirstindent"/>
    <w:basedOn w:val="GvdeMetni"/>
    <w:rsid w:val="00B260C1"/>
    <w:pPr>
      <w:suppressAutoHyphens/>
      <w:spacing w:after="0"/>
      <w:ind w:firstLine="283"/>
      <w:jc w:val="center"/>
    </w:pPr>
    <w:rPr>
      <w:b/>
      <w:szCs w:val="20"/>
    </w:rPr>
  </w:style>
  <w:style w:type="paragraph" w:styleId="GvdeMetni">
    <w:name w:val="Body Text"/>
    <w:basedOn w:val="Normal"/>
    <w:link w:val="GvdeMetniChar"/>
    <w:uiPriority w:val="99"/>
    <w:semiHidden/>
    <w:unhideWhenUsed/>
    <w:rsid w:val="00B260C1"/>
    <w:pPr>
      <w:spacing w:after="120"/>
    </w:pPr>
  </w:style>
  <w:style w:type="character" w:customStyle="1" w:styleId="GvdeMetniChar">
    <w:name w:val="Gövde Metni Char"/>
    <w:basedOn w:val="VarsaylanParagrafYazTipi"/>
    <w:link w:val="GvdeMetni"/>
    <w:uiPriority w:val="99"/>
    <w:semiHidden/>
    <w:rsid w:val="00B260C1"/>
    <w:rPr>
      <w:rFonts w:ascii="Times New Roman" w:eastAsia="Times New Roman" w:hAnsi="Times New Roman" w:cs="Times New Roman"/>
      <w:sz w:val="24"/>
      <w:szCs w:val="24"/>
      <w:lang w:eastAsia="tr-TR"/>
    </w:rPr>
  </w:style>
  <w:style w:type="paragraph" w:styleId="stbilgi">
    <w:name w:val="header"/>
    <w:basedOn w:val="Normal"/>
    <w:link w:val="stbilgiChar"/>
    <w:rsid w:val="00B260C1"/>
    <w:pPr>
      <w:tabs>
        <w:tab w:val="center" w:pos="4536"/>
        <w:tab w:val="right" w:pos="9072"/>
      </w:tabs>
    </w:pPr>
    <w:rPr>
      <w:sz w:val="20"/>
      <w:szCs w:val="20"/>
    </w:rPr>
  </w:style>
  <w:style w:type="character" w:customStyle="1" w:styleId="stbilgiChar">
    <w:name w:val="Üstbilgi Char"/>
    <w:basedOn w:val="VarsaylanParagrafYazTipi"/>
    <w:link w:val="stbilgi"/>
    <w:rsid w:val="00B260C1"/>
    <w:rPr>
      <w:rFonts w:ascii="Times New Roman" w:eastAsia="Times New Roman" w:hAnsi="Times New Roman" w:cs="Times New Roman"/>
      <w:sz w:val="20"/>
      <w:szCs w:val="20"/>
      <w:lang w:eastAsia="tr-TR"/>
    </w:rPr>
  </w:style>
  <w:style w:type="paragraph" w:customStyle="1" w:styleId="WW-GvdeMetni2">
    <w:name w:val="WW-Gövde Metni 2"/>
    <w:basedOn w:val="Normal"/>
    <w:rsid w:val="00B260C1"/>
    <w:pPr>
      <w:suppressAutoHyphens/>
      <w:jc w:val="both"/>
    </w:pPr>
    <w:rPr>
      <w:szCs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33293">
      <w:bodyDiv w:val="1"/>
      <w:marLeft w:val="0"/>
      <w:marRight w:val="0"/>
      <w:marTop w:val="0"/>
      <w:marBottom w:val="0"/>
      <w:divBdr>
        <w:top w:val="none" w:sz="0" w:space="0" w:color="auto"/>
        <w:left w:val="none" w:sz="0" w:space="0" w:color="auto"/>
        <w:bottom w:val="none" w:sz="0" w:space="0" w:color="auto"/>
        <w:right w:val="none" w:sz="0" w:space="0" w:color="auto"/>
      </w:divBdr>
    </w:div>
    <w:div w:id="361899480">
      <w:bodyDiv w:val="1"/>
      <w:marLeft w:val="0"/>
      <w:marRight w:val="0"/>
      <w:marTop w:val="0"/>
      <w:marBottom w:val="0"/>
      <w:divBdr>
        <w:top w:val="none" w:sz="0" w:space="0" w:color="auto"/>
        <w:left w:val="none" w:sz="0" w:space="0" w:color="auto"/>
        <w:bottom w:val="none" w:sz="0" w:space="0" w:color="auto"/>
        <w:right w:val="none" w:sz="0" w:space="0" w:color="auto"/>
      </w:divBdr>
    </w:div>
    <w:div w:id="518468824">
      <w:bodyDiv w:val="1"/>
      <w:marLeft w:val="0"/>
      <w:marRight w:val="0"/>
      <w:marTop w:val="0"/>
      <w:marBottom w:val="0"/>
      <w:divBdr>
        <w:top w:val="none" w:sz="0" w:space="0" w:color="auto"/>
        <w:left w:val="none" w:sz="0" w:space="0" w:color="auto"/>
        <w:bottom w:val="none" w:sz="0" w:space="0" w:color="auto"/>
        <w:right w:val="none" w:sz="0" w:space="0" w:color="auto"/>
      </w:divBdr>
    </w:div>
    <w:div w:id="1679044759">
      <w:bodyDiv w:val="1"/>
      <w:marLeft w:val="0"/>
      <w:marRight w:val="0"/>
      <w:marTop w:val="0"/>
      <w:marBottom w:val="0"/>
      <w:divBdr>
        <w:top w:val="none" w:sz="0" w:space="0" w:color="auto"/>
        <w:left w:val="none" w:sz="0" w:space="0" w:color="auto"/>
        <w:bottom w:val="none" w:sz="0" w:space="0" w:color="auto"/>
        <w:right w:val="none" w:sz="0" w:space="0" w:color="auto"/>
      </w:divBdr>
    </w:div>
    <w:div w:id="184955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2336</Words>
  <Characters>13321</Characters>
  <Application>Microsoft Office Word</Application>
  <DocSecurity>0</DocSecurity>
  <Lines>111</Lines>
  <Paragraphs>31</Paragraphs>
  <ScaleCrop>false</ScaleCrop>
  <Company>Hewlett-Packard Company</Company>
  <LinksUpToDate>false</LinksUpToDate>
  <CharactersWithSpaces>15626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 Zeynep SEYFALİ</dc:creator>
  <cp:keywords/>
  <dc:description/>
  <cp:lastModifiedBy>Aslı Zeynep SEYFALİ</cp:lastModifiedBy>
  <cp:revision>2</cp:revision>
  <dcterms:created xsi:type="dcterms:W3CDTF">2014-05-29T07:56:00Z</dcterms:created>
  <dcterms:modified xsi:type="dcterms:W3CDTF">2014-05-29T08:01:00Z</dcterms:modified>
</cp:coreProperties>
</file>